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hint="default" w:ascii="Times New Roman" w:hAnsi="Times New Roman" w:eastAsia="仿宋_GB2312" w:cs="Times New Roman"/>
          <w:spacing w:val="6"/>
          <w:sz w:val="32"/>
          <w:szCs w:val="32"/>
          <w:lang w:val="en-US" w:eastAsia="zh-CN"/>
        </w:rPr>
      </w:pPr>
      <w:r>
        <w:rPr>
          <w:rFonts w:hint="eastAsia" w:ascii="Times New Roman" w:hAnsi="Times New Roman" w:eastAsia="黑体" w:cs="Times New Roman"/>
          <w:b w:val="0"/>
          <w:bCs w:val="0"/>
          <w:spacing w:val="0"/>
          <w:sz w:val="32"/>
          <w:szCs w:val="32"/>
          <w:lang w:val="en-US" w:eastAsia="zh-CN"/>
        </w:rPr>
        <w:tab/>
      </w:r>
    </w:p>
    <w:p>
      <w:pPr>
        <w:spacing w:line="600" w:lineRule="exact"/>
        <w:jc w:val="right"/>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0"/>
          <w:sz w:val="32"/>
          <w:szCs w:val="32"/>
          <w:lang w:eastAsia="zh-CN"/>
        </w:rPr>
        <w:t>电</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子</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监</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管</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lang w:eastAsia="zh-CN"/>
        </w:rPr>
        <w:t>号：</w:t>
      </w:r>
      <w:r>
        <w:rPr>
          <w:rFonts w:hint="eastAsia" w:ascii="Times New Roman" w:hAnsi="Times New Roman" w:eastAsia="仿宋_GB2312" w:cs="Times New Roman"/>
          <w:b w:val="0"/>
          <w:bCs w:val="0"/>
          <w:sz w:val="32"/>
          <w:szCs w:val="32"/>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600" w:lineRule="exact"/>
        <w:jc w:val="right"/>
        <w:textAlignment w:val="auto"/>
        <w:rPr>
          <w:rFonts w:hint="eastAsia" w:ascii="黑体" w:hAnsi="黑体" w:eastAsia="黑体" w:cs="黑体"/>
          <w:b w:val="0"/>
          <w:bCs w:val="0"/>
          <w:sz w:val="32"/>
          <w:szCs w:val="32"/>
          <w:lang w:val="en-US" w:eastAsia="zh-CN"/>
        </w:rPr>
      </w:pPr>
      <w:r>
        <w:rPr>
          <w:rFonts w:hint="default" w:ascii="Times New Roman" w:hAnsi="Times New Roman" w:eastAsia="黑体" w:cs="Times New Roman"/>
          <w:b w:val="0"/>
          <w:bCs w:val="0"/>
          <w:sz w:val="32"/>
          <w:szCs w:val="32"/>
          <w:lang w:eastAsia="zh-CN"/>
        </w:rPr>
        <w:t>不动产单元代码：</w:t>
      </w:r>
    </w:p>
    <w:p>
      <w:pPr>
        <w:spacing w:line="600" w:lineRule="exact"/>
        <w:rPr>
          <w:rFonts w:hint="eastAsia" w:ascii="Times New Roman" w:hAnsi="Times New Roman" w:eastAsia="仿宋_GB2312" w:cs="Times New Roman"/>
          <w:sz w:val="32"/>
          <w:szCs w:val="32"/>
          <w:lang w:val="en-US" w:eastAsia="zh-CN"/>
        </w:rPr>
      </w:pPr>
    </w:p>
    <w:p>
      <w:pPr>
        <w:spacing w:line="600" w:lineRule="exact"/>
        <w:jc w:val="center"/>
        <w:rPr>
          <w:rFonts w:ascii="Times New Roman" w:hAnsi="Times New Roman" w:cs="Times New Roman"/>
          <w:b/>
          <w:bCs/>
          <w:sz w:val="36"/>
          <w:szCs w:val="44"/>
        </w:rPr>
      </w:pPr>
    </w:p>
    <w:p>
      <w:pPr>
        <w:spacing w:line="600" w:lineRule="exact"/>
        <w:jc w:val="center"/>
        <w:rPr>
          <w:rFonts w:ascii="Times New Roman" w:hAnsi="Times New Roman" w:cs="Times New Roman"/>
          <w:b/>
          <w:bCs/>
          <w:sz w:val="36"/>
          <w:szCs w:val="44"/>
        </w:rPr>
      </w:pPr>
    </w:p>
    <w:p>
      <w:pPr>
        <w:spacing w:line="600" w:lineRule="exact"/>
        <w:jc w:val="both"/>
        <w:rPr>
          <w:rFonts w:ascii="Times New Roman" w:hAnsi="Times New Roman" w:cs="Times New Roman"/>
          <w:b/>
          <w:bCs/>
          <w:sz w:val="36"/>
          <w:szCs w:val="44"/>
        </w:rPr>
      </w:pPr>
    </w:p>
    <w:p>
      <w:pPr>
        <w:spacing w:line="60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国有建设用地使用权出让合同</w:t>
      </w:r>
    </w:p>
    <w:p>
      <w:pPr>
        <w:spacing w:line="600" w:lineRule="exact"/>
        <w:jc w:val="center"/>
        <w:rPr>
          <w:rFonts w:ascii="Times New Roman" w:hAnsi="Times New Roman" w:eastAsia="仿宋_GB2312" w:cs="Times New Roman"/>
          <w:b/>
          <w:bCs/>
          <w:sz w:val="36"/>
          <w:szCs w:val="36"/>
        </w:rPr>
      </w:pPr>
    </w:p>
    <w:p>
      <w:pPr>
        <w:spacing w:line="600" w:lineRule="exact"/>
        <w:jc w:val="center"/>
        <w:rPr>
          <w:rFonts w:ascii="Times New Roman" w:hAnsi="Times New Roman" w:cs="Times New Roman"/>
          <w:b/>
          <w:bCs/>
          <w:sz w:val="28"/>
          <w:szCs w:val="36"/>
        </w:rPr>
      </w:pPr>
    </w:p>
    <w:p>
      <w:pPr>
        <w:spacing w:line="600" w:lineRule="exact"/>
        <w:jc w:val="center"/>
        <w:rPr>
          <w:rFonts w:ascii="Times New Roman" w:hAnsi="Times New Roman" w:cs="Times New Roman"/>
          <w:b/>
          <w:bCs/>
          <w:sz w:val="28"/>
          <w:szCs w:val="36"/>
        </w:rPr>
      </w:pPr>
    </w:p>
    <w:p>
      <w:pPr>
        <w:spacing w:line="600" w:lineRule="exact"/>
        <w:jc w:val="center"/>
        <w:rPr>
          <w:rFonts w:ascii="Times New Roman" w:hAnsi="Times New Roman" w:cs="Times New Roman"/>
          <w:b/>
          <w:bCs/>
          <w:sz w:val="28"/>
          <w:szCs w:val="36"/>
        </w:rPr>
      </w:pPr>
    </w:p>
    <w:p>
      <w:pPr>
        <w:spacing w:line="240" w:lineRule="auto"/>
        <w:jc w:val="center"/>
        <w:rPr>
          <w:rFonts w:ascii="Times New Roman" w:hAnsi="Times New Roman" w:cs="Times New Roman"/>
          <w:b/>
          <w:bCs/>
          <w:sz w:val="28"/>
          <w:szCs w:val="36"/>
        </w:rPr>
      </w:pPr>
      <w:r>
        <w:drawing>
          <wp:inline distT="0" distB="0" distL="0" distR="0">
            <wp:extent cx="1270000" cy="1270000"/>
            <wp:effectExtent l="0" t="0" r="6350" b="6350"/>
            <wp:docPr id="1" name="Drawing 0" descr="image_17612907345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image_1761290734528.png"/>
                    <pic:cNvPicPr>
                      <a:picLocks noChangeAspect="1"/>
                    </pic:cNvPicPr>
                  </pic:nvPicPr>
                  <pic:blipFill>
                    <a:blip r:embed="rId10"/>
                    <a:stretch>
                      <a:fillRect/>
                    </a:stretch>
                  </pic:blipFill>
                  <pic:spPr>
                    <a:xfrm>
                      <a:off x="0" y="0"/>
                      <a:ext cx="1270000" cy="1270000"/>
                    </a:xfrm>
                    <a:prstGeom prst="rect">
                      <a:avLst/>
                    </a:prstGeom>
                  </pic:spPr>
                </pic:pic>
              </a:graphicData>
            </a:graphic>
          </wp:inline>
        </w:drawing>
      </w:r>
    </w:p>
    <w:p>
      <w:pPr>
        <w:spacing w:line="600" w:lineRule="exact"/>
        <w:jc w:val="center"/>
        <w:rPr>
          <w:rFonts w:ascii="Times New Roman" w:hAnsi="Times New Roman" w:cs="Times New Roman"/>
          <w:b/>
          <w:bCs/>
          <w:sz w:val="28"/>
          <w:szCs w:val="36"/>
        </w:rPr>
      </w:pPr>
    </w:p>
    <w:p>
      <w:pPr>
        <w:spacing w:line="600" w:lineRule="exact"/>
        <w:jc w:val="both"/>
        <w:rPr>
          <w:rFonts w:ascii="Times New Roman" w:hAnsi="Times New Roman" w:eastAsia="仿宋_GB2312" w:cs="Times New Roman"/>
          <w:sz w:val="32"/>
          <w:szCs w:val="32"/>
        </w:rPr>
      </w:pPr>
    </w:p>
    <w:p>
      <w:pPr>
        <w:spacing w:line="600" w:lineRule="exact"/>
        <w:ind w:firstLine="1170" w:firstLineChars="250"/>
        <w:rPr>
          <w:rFonts w:ascii="Times New Roman" w:hAnsi="Times New Roman" w:eastAsia="仿宋_GB2312" w:cs="Times New Roman"/>
          <w:spacing w:val="74"/>
          <w:sz w:val="32"/>
          <w:szCs w:val="32"/>
        </w:rPr>
      </w:pPr>
      <w:r>
        <w:rPr>
          <w:rFonts w:hint="default" w:ascii="Times New Roman" w:hAnsi="Times New Roman" w:eastAsia="仿宋_GB2312" w:cs="Times New Roman"/>
          <w:spacing w:val="74"/>
          <w:sz w:val="32"/>
          <w:szCs w:val="32"/>
        </w:rPr>
        <w:t>中华人民共和国自然资源部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制 定</w:t>
      </w:r>
    </w:p>
    <w:p>
      <w:pPr>
        <w:spacing w:line="600" w:lineRule="exact"/>
        <w:ind w:firstLine="1140" w:firstLineChars="200"/>
        <w:jc w:val="both"/>
        <w:rPr>
          <w:rFonts w:ascii="Times New Roman" w:hAnsi="Times New Roman" w:cs="Times New Roman"/>
          <w:b/>
          <w:bCs/>
          <w:spacing w:val="142"/>
          <w:sz w:val="32"/>
          <w:szCs w:val="32"/>
        </w:rPr>
      </w:pPr>
      <w:r>
        <w:rPr>
          <w:rFonts w:hint="default" w:ascii="Times New Roman" w:hAnsi="Times New Roman" w:eastAsia="仿宋_GB2312" w:cs="Times New Roman"/>
          <w:spacing w:val="125"/>
          <w:sz w:val="32"/>
          <w:szCs w:val="32"/>
        </w:rPr>
        <w:t>国家市场监督管理总局</w:t>
      </w:r>
    </w:p>
    <w:p>
      <w:pPr>
        <w:spacing w:line="600" w:lineRule="exact"/>
        <w:rPr>
          <w:rFonts w:ascii="Times New Roman" w:hAnsi="Times New Roman" w:cs="Times New Roman"/>
          <w:b/>
          <w:bCs/>
          <w:sz w:val="24"/>
          <w:szCs w:val="32"/>
        </w:rPr>
      </w:pPr>
    </w:p>
    <w:p>
      <w:pPr>
        <w:widowControl/>
        <w:spacing w:line="600" w:lineRule="exact"/>
        <w:jc w:val="left"/>
        <w:rPr>
          <w:rFonts w:ascii="Times New Roman" w:hAnsi="Times New Roman" w:cs="Times New Roman"/>
          <w:b/>
          <w:bCs/>
          <w:sz w:val="24"/>
          <w:szCs w:val="32"/>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pPr>
    </w:p>
    <w:p>
      <w:pPr>
        <w:spacing w:line="600" w:lineRule="exact"/>
        <w:jc w:val="center"/>
        <w:rPr>
          <w:rFonts w:hint="default" w:ascii="Times New Roman" w:hAnsi="Times New Roman" w:eastAsia="方正小标宋_GBK" w:cs="Times New Roman"/>
          <w:sz w:val="32"/>
          <w:szCs w:val="32"/>
          <w:lang w:eastAsia="zh-CN"/>
        </w:rPr>
      </w:pPr>
    </w:p>
    <w:p>
      <w:pPr>
        <w:spacing w:line="600" w:lineRule="exact"/>
        <w:jc w:val="center"/>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国有建设用地使用权出让合同使用说明</w:t>
      </w:r>
    </w:p>
    <w:p>
      <w:pPr>
        <w:numPr>
          <w:ilvl w:val="0"/>
          <w:numId w:val="0"/>
        </w:numPr>
        <w:spacing w:line="600" w:lineRule="exact"/>
        <w:ind w:firstLine="562" w:firstLineChars="200"/>
        <w:jc w:val="both"/>
        <w:rPr>
          <w:rFonts w:hint="default" w:ascii="Times New Roman" w:hAnsi="Times New Roman" w:cs="Times New Roman"/>
          <w:b/>
          <w:bCs/>
          <w:sz w:val="28"/>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一、《国有建设用地使用权出让合同》包括合同正文、附件1（出让宗地平面界址图）、附件2（出让宗地竖向界限）和附件3〔市（县）</w:t>
      </w:r>
      <w:r>
        <w:rPr>
          <w:rFonts w:hint="eastAsia" w:ascii="Times New Roman" w:hAnsi="Times New Roman" w:eastAsia="仿宋_GB2312" w:cs="Times New Roman"/>
          <w:b w:val="0"/>
          <w:bCs w:val="0"/>
          <w:sz w:val="32"/>
          <w:szCs w:val="32"/>
          <w:lang w:eastAsia="zh-CN"/>
        </w:rPr>
        <w:t>人民</w:t>
      </w:r>
      <w:r>
        <w:rPr>
          <w:rFonts w:hint="default" w:ascii="Times New Roman" w:hAnsi="Times New Roman" w:eastAsia="仿宋_GB2312" w:cs="Times New Roman"/>
          <w:b w:val="0"/>
          <w:bCs w:val="0"/>
          <w:sz w:val="32"/>
          <w:szCs w:val="32"/>
          <w:lang w:eastAsia="zh-CN"/>
        </w:rPr>
        <w:t>政府</w:t>
      </w:r>
      <w:r>
        <w:rPr>
          <w:rFonts w:hint="eastAsia" w:ascii="Times New Roman" w:hAnsi="Times New Roman" w:eastAsia="仿宋_GB2312" w:cs="Times New Roman"/>
          <w:b w:val="0"/>
          <w:bCs w:val="0"/>
          <w:sz w:val="32"/>
          <w:szCs w:val="32"/>
          <w:lang w:eastAsia="zh-CN"/>
        </w:rPr>
        <w:t>自然资源主管</w:t>
      </w:r>
      <w:r>
        <w:rPr>
          <w:rFonts w:hint="default" w:ascii="Times New Roman" w:hAnsi="Times New Roman" w:eastAsia="仿宋_GB2312" w:cs="Times New Roman"/>
          <w:b w:val="0"/>
          <w:bCs w:val="0"/>
          <w:sz w:val="32"/>
          <w:szCs w:val="32"/>
          <w:lang w:eastAsia="zh-CN"/>
        </w:rPr>
        <w:t>部门确定的出让宗地规划条件〕。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二、本合同中的出让人为有权出让国有建设用地使用权的市、县人民政府</w:t>
      </w:r>
      <w:r>
        <w:rPr>
          <w:rFonts w:hint="eastAsia" w:ascii="Times New Roman" w:hAnsi="Times New Roman" w:eastAsia="仿宋_GB2312" w:cs="Times New Roman"/>
          <w:b w:val="0"/>
          <w:bCs w:val="0"/>
          <w:sz w:val="32"/>
          <w:szCs w:val="32"/>
          <w:lang w:eastAsia="zh-CN"/>
        </w:rPr>
        <w:t>自然资源</w:t>
      </w:r>
      <w:r>
        <w:rPr>
          <w:rFonts w:hint="default" w:ascii="Times New Roman" w:hAnsi="Times New Roman" w:eastAsia="仿宋_GB2312" w:cs="Times New Roman"/>
          <w:b w:val="0"/>
          <w:bCs w:val="0"/>
          <w:sz w:val="32"/>
          <w:szCs w:val="32"/>
          <w:lang w:eastAsia="zh-CN"/>
        </w:rPr>
        <w:t>主管部门。出让人不得违反法律法规、产业和供地政策为别墅类房地产开发（包括私家庄园）等禁止类项目签订出让合同</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color w:val="auto"/>
          <w:sz w:val="32"/>
          <w:szCs w:val="32"/>
          <w:lang w:eastAsia="zh-CN"/>
        </w:rPr>
        <w:t>出</w:t>
      </w:r>
      <w:r>
        <w:rPr>
          <w:rFonts w:hint="eastAsia" w:ascii="Times New Roman" w:hAnsi="Times New Roman" w:eastAsia="仿宋_GB2312" w:cs="Times New Roman"/>
          <w:b w:val="0"/>
          <w:bCs w:val="0"/>
          <w:color w:val="auto"/>
          <w:sz w:val="32"/>
          <w:szCs w:val="32"/>
          <w:lang w:eastAsia="zh-CN"/>
        </w:rPr>
        <w:t>让人出让的土地必须是国有建设用地，土地上不得存在集体土地所有权，以及已设立的各类不动产用益物权和担保物权。宗地是指土地权属界址线封闭的地块或者空间。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四、本合同第</w:t>
      </w:r>
      <w:r>
        <w:rPr>
          <w:rFonts w:hint="eastAsia" w:ascii="Times New Roman" w:hAnsi="Times New Roman" w:eastAsia="仿宋_GB2312" w:cs="Times New Roman"/>
          <w:b w:val="0"/>
          <w:bCs w:val="0"/>
          <w:sz w:val="32"/>
          <w:szCs w:val="32"/>
          <w:lang w:eastAsia="zh-CN"/>
        </w:rPr>
        <w:t>五</w:t>
      </w:r>
      <w:r>
        <w:rPr>
          <w:rFonts w:hint="default" w:ascii="Times New Roman" w:hAnsi="Times New Roman" w:eastAsia="仿宋_GB2312" w:cs="Times New Roman"/>
          <w:b w:val="0"/>
          <w:bCs w:val="0"/>
          <w:sz w:val="32"/>
          <w:szCs w:val="32"/>
          <w:lang w:eastAsia="zh-CN"/>
        </w:rPr>
        <w:t>条中，出让宗地空间范围是以平面界址点所构成的垂直面和上、下界限高程平面封闭形成的空间范围。出让宗地的平面界限按宗地的界址点坐标填写</w:t>
      </w:r>
      <w:r>
        <w:rPr>
          <w:rFonts w:hint="eastAsia" w:ascii="Times New Roman" w:hAnsi="Times New Roman" w:eastAsia="仿宋_GB2312" w:cs="Times New Roman"/>
          <w:b w:val="0"/>
          <w:bCs w:val="0"/>
          <w:sz w:val="32"/>
          <w:szCs w:val="32"/>
          <w:lang w:eastAsia="zh-CN"/>
        </w:rPr>
        <w:t>。出让宗地平面界址图以宗地图为基础制作，也可直接附宗地图；</w:t>
      </w:r>
      <w:r>
        <w:rPr>
          <w:rFonts w:hint="default" w:ascii="Times New Roman" w:hAnsi="Times New Roman" w:eastAsia="仿宋_GB2312" w:cs="Times New Roman"/>
          <w:b w:val="0"/>
          <w:bCs w:val="0"/>
          <w:sz w:val="32"/>
          <w:szCs w:val="32"/>
          <w:lang w:eastAsia="zh-CN"/>
        </w:rPr>
        <w:t>出让宗地的竖向界限，</w:t>
      </w:r>
      <w:r>
        <w:rPr>
          <w:rFonts w:hint="eastAsia" w:ascii="Times New Roman" w:hAnsi="Times New Roman" w:eastAsia="仿宋_GB2312" w:cs="Times New Roman"/>
          <w:b w:val="0"/>
          <w:bCs w:val="0"/>
          <w:sz w:val="32"/>
          <w:szCs w:val="32"/>
          <w:lang w:val="en-US" w:eastAsia="zh-CN"/>
        </w:rPr>
        <w:t>应当</w:t>
      </w:r>
      <w:r>
        <w:rPr>
          <w:rFonts w:hint="default" w:ascii="Times New Roman" w:hAnsi="Times New Roman" w:eastAsia="仿宋_GB2312" w:cs="Times New Roman"/>
          <w:b w:val="0"/>
          <w:bCs w:val="0"/>
          <w:sz w:val="32"/>
          <w:szCs w:val="32"/>
          <w:lang w:eastAsia="zh-CN"/>
        </w:rPr>
        <w:t>按照1985国家高程</w:t>
      </w:r>
      <w:r>
        <w:rPr>
          <w:rFonts w:hint="eastAsia" w:ascii="Times New Roman" w:hAnsi="Times New Roman" w:eastAsia="仿宋_GB2312" w:cs="Times New Roman"/>
          <w:b w:val="0"/>
          <w:bCs w:val="0"/>
          <w:sz w:val="32"/>
          <w:szCs w:val="32"/>
          <w:lang w:eastAsia="zh-CN"/>
        </w:rPr>
        <w:t>基准</w:t>
      </w:r>
      <w:r>
        <w:rPr>
          <w:rFonts w:hint="default" w:ascii="Times New Roman" w:hAnsi="Times New Roman" w:eastAsia="仿宋_GB2312" w:cs="Times New Roman"/>
          <w:b w:val="0"/>
          <w:bCs w:val="0"/>
          <w:sz w:val="32"/>
          <w:szCs w:val="32"/>
          <w:lang w:eastAsia="zh-CN"/>
        </w:rPr>
        <w:t>为起算基点填写。高差是垂直方向从起算面到终止面的距离。如</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出让宗地的竖向界限以标高+60米（1985国家高程</w:t>
      </w:r>
      <w:r>
        <w:rPr>
          <w:rFonts w:hint="eastAsia" w:ascii="Times New Roman" w:hAnsi="Times New Roman" w:eastAsia="仿宋_GB2312" w:cs="Times New Roman"/>
          <w:b w:val="0"/>
          <w:bCs w:val="0"/>
          <w:sz w:val="32"/>
          <w:szCs w:val="32"/>
          <w:lang w:eastAsia="zh-CN"/>
        </w:rPr>
        <w:t>基准</w:t>
      </w:r>
      <w:r>
        <w:rPr>
          <w:rFonts w:hint="default" w:ascii="Times New Roman" w:hAnsi="Times New Roman" w:eastAsia="仿宋_GB2312" w:cs="Times New Roman"/>
          <w:b w:val="0"/>
          <w:bCs w:val="0"/>
          <w:sz w:val="32"/>
          <w:szCs w:val="32"/>
          <w:lang w:eastAsia="zh-CN"/>
        </w:rPr>
        <w:t>）为上界限，以标高-10米（1985国家高程</w:t>
      </w:r>
      <w:r>
        <w:rPr>
          <w:rFonts w:hint="eastAsia" w:ascii="Times New Roman" w:hAnsi="Times New Roman" w:eastAsia="仿宋_GB2312" w:cs="Times New Roman"/>
          <w:b w:val="0"/>
          <w:bCs w:val="0"/>
          <w:sz w:val="32"/>
          <w:szCs w:val="32"/>
          <w:lang w:eastAsia="zh-CN"/>
        </w:rPr>
        <w:t>基准</w:t>
      </w:r>
      <w:r>
        <w:rPr>
          <w:rFonts w:hint="default" w:ascii="Times New Roman" w:hAnsi="Times New Roman" w:eastAsia="仿宋_GB2312" w:cs="Times New Roman"/>
          <w:b w:val="0"/>
          <w:bCs w:val="0"/>
          <w:sz w:val="32"/>
          <w:szCs w:val="32"/>
          <w:lang w:eastAsia="zh-CN"/>
        </w:rPr>
        <w:t>）为下界限，高差为 70 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五、本合同第</w:t>
      </w:r>
      <w:r>
        <w:rPr>
          <w:rFonts w:hint="eastAsia"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lang w:eastAsia="zh-CN"/>
        </w:rPr>
        <w:t>条中，宗地用途</w:t>
      </w:r>
      <w:r>
        <w:rPr>
          <w:rFonts w:hint="default" w:ascii="Times New Roman" w:hAnsi="Times New Roman" w:eastAsia="仿宋_GB2312" w:cs="Times New Roman"/>
          <w:b w:val="0"/>
          <w:bCs w:val="0"/>
          <w:sz w:val="32"/>
          <w:szCs w:val="32"/>
        </w:rPr>
        <w:t>依据国土空间详细规划确定，</w:t>
      </w:r>
      <w:r>
        <w:rPr>
          <w:rFonts w:hint="default" w:ascii="Times New Roman" w:hAnsi="Times New Roman" w:eastAsia="仿宋_GB2312" w:cs="Times New Roman"/>
          <w:b w:val="0"/>
          <w:bCs w:val="0"/>
          <w:sz w:val="32"/>
          <w:szCs w:val="32"/>
          <w:lang w:eastAsia="zh-CN"/>
        </w:rPr>
        <w:t>按</w:t>
      </w:r>
      <w:r>
        <w:rPr>
          <w:rFonts w:hint="eastAsia" w:ascii="Times New Roman" w:hAnsi="Times New Roman" w:eastAsia="仿宋_GB2312" w:cs="Times New Roman"/>
          <w:b w:val="0"/>
          <w:bCs w:val="0"/>
          <w:sz w:val="32"/>
          <w:szCs w:val="32"/>
          <w:lang w:eastAsia="zh-CN"/>
        </w:rPr>
        <w:t>照现行有效的</w:t>
      </w:r>
      <w:r>
        <w:rPr>
          <w:rFonts w:hint="default" w:ascii="Times New Roman" w:hAnsi="Times New Roman" w:eastAsia="仿宋_GB2312" w:cs="Times New Roman"/>
          <w:b w:val="0"/>
          <w:bCs w:val="0"/>
          <w:sz w:val="32"/>
          <w:szCs w:val="32"/>
        </w:rPr>
        <w:t>《国土空间调查、规划、用途管制用地用海分类指南》</w:t>
      </w:r>
      <w:r>
        <w:rPr>
          <w:rFonts w:hint="default" w:ascii="Times New Roman" w:hAnsi="Times New Roman" w:eastAsia="仿宋_GB2312" w:cs="Times New Roman"/>
          <w:b w:val="0"/>
          <w:bCs w:val="0"/>
          <w:sz w:val="32"/>
          <w:szCs w:val="32"/>
          <w:lang w:eastAsia="zh-CN"/>
        </w:rPr>
        <w:t>规定的土地二级类填写。依据规划用途可以划分为不同宗地的，应先行分割成不同的宗地，再按宗地出让。属于同一宗地中包含两种或两种以上不同用途的，应当写明各类具体用途土地的出</w:t>
      </w:r>
      <w:r>
        <w:rPr>
          <w:rFonts w:hint="eastAsia" w:ascii="Times New Roman" w:hAnsi="Times New Roman" w:eastAsia="仿宋_GB2312" w:cs="Times New Roman"/>
          <w:b w:val="0"/>
          <w:bCs w:val="0"/>
          <w:sz w:val="32"/>
          <w:szCs w:val="32"/>
          <w:lang w:eastAsia="zh-CN"/>
        </w:rPr>
        <w:t>让</w:t>
      </w:r>
      <w:r>
        <w:rPr>
          <w:rFonts w:hint="eastAsia" w:ascii="Times New Roman" w:hAnsi="Times New Roman" w:eastAsia="仿宋_GB2312" w:cs="Times New Roman"/>
          <w:b w:val="0"/>
          <w:bCs w:val="0"/>
          <w:sz w:val="32"/>
          <w:szCs w:val="32"/>
          <w:lang w:val="en-US" w:eastAsia="zh-CN"/>
        </w:rPr>
        <w:t>期限</w:t>
      </w:r>
      <w:r>
        <w:rPr>
          <w:rFonts w:hint="eastAsia" w:ascii="Times New Roman" w:hAnsi="Times New Roman" w:eastAsia="仿宋_GB2312" w:cs="Times New Roman"/>
          <w:b w:val="0"/>
          <w:bCs w:val="0"/>
          <w:sz w:val="32"/>
          <w:szCs w:val="32"/>
          <w:lang w:eastAsia="zh-CN"/>
        </w:rPr>
        <w:t>及</w:t>
      </w:r>
      <w:r>
        <w:rPr>
          <w:rFonts w:hint="eastAsia" w:ascii="Times New Roman" w:hAnsi="Times New Roman" w:eastAsia="仿宋_GB2312" w:cs="Times New Roman"/>
          <w:b w:val="0"/>
          <w:bCs w:val="0"/>
          <w:sz w:val="32"/>
          <w:szCs w:val="32"/>
          <w:lang w:val="en-US" w:eastAsia="zh-CN"/>
        </w:rPr>
        <w:t>其</w:t>
      </w:r>
      <w:r>
        <w:rPr>
          <w:rFonts w:hint="default" w:ascii="Times New Roman" w:hAnsi="Times New Roman" w:eastAsia="仿宋_GB2312" w:cs="Times New Roman"/>
          <w:b w:val="0"/>
          <w:bCs w:val="0"/>
          <w:sz w:val="32"/>
          <w:szCs w:val="32"/>
          <w:lang w:eastAsia="zh-CN"/>
        </w:rPr>
        <w:t>占宗地的面积比例和空间范围。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rPr>
        <w:t>本合同第七条中，容积率</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建筑高度</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建筑密度（建筑系数）</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绿地率</w:t>
      </w:r>
      <w:r>
        <w:rPr>
          <w:rFonts w:hint="default" w:ascii="Times New Roman" w:hAnsi="Times New Roman" w:eastAsia="仿宋_GB2312" w:cs="Times New Roman"/>
          <w:b w:val="0"/>
          <w:bCs w:val="0"/>
          <w:sz w:val="32"/>
          <w:szCs w:val="32"/>
          <w:lang w:eastAsia="zh-CN"/>
        </w:rPr>
        <w:t>等规划条件为必填项。</w:t>
      </w:r>
      <w:r>
        <w:rPr>
          <w:rFonts w:hint="default" w:ascii="Times New Roman" w:hAnsi="Times New Roman" w:eastAsia="仿宋_GB2312" w:cs="Times New Roman"/>
          <w:b w:val="0"/>
          <w:bCs w:val="0"/>
          <w:sz w:val="32"/>
          <w:szCs w:val="32"/>
        </w:rPr>
        <w:t>受让宗地用于工业项目建设的，应当按照</w:t>
      </w:r>
      <w:r>
        <w:rPr>
          <w:rFonts w:hint="eastAsia" w:ascii="Times New Roman" w:hAnsi="Times New Roman" w:eastAsia="仿宋_GB2312" w:cs="Times New Roman"/>
          <w:b w:val="0"/>
          <w:bCs w:val="0"/>
          <w:sz w:val="32"/>
          <w:szCs w:val="32"/>
          <w:lang w:eastAsia="zh-CN"/>
        </w:rPr>
        <w:t>现行有效的</w:t>
      </w:r>
      <w:r>
        <w:rPr>
          <w:rFonts w:hint="default" w:ascii="Times New Roman" w:hAnsi="Times New Roman" w:eastAsia="仿宋_GB2312" w:cs="Times New Roman"/>
          <w:b w:val="0"/>
          <w:bCs w:val="0"/>
          <w:sz w:val="32"/>
          <w:szCs w:val="32"/>
        </w:rPr>
        <w:t>《工业项目建设用地控制指标》要求，容积率、建筑密度</w:t>
      </w:r>
      <w:r>
        <w:rPr>
          <w:rFonts w:hint="eastAsia" w:ascii="Times New Roman" w:hAnsi="Times New Roman" w:eastAsia="仿宋_GB2312" w:cs="Times New Roman"/>
          <w:b w:val="0"/>
          <w:bCs w:val="0"/>
          <w:sz w:val="32"/>
          <w:szCs w:val="32"/>
          <w:lang w:eastAsia="zh-CN"/>
        </w:rPr>
        <w:t>（建筑系数）</w:t>
      </w:r>
      <w:r>
        <w:rPr>
          <w:rFonts w:hint="default" w:ascii="Times New Roman" w:hAnsi="Times New Roman" w:eastAsia="仿宋_GB2312" w:cs="Times New Roman"/>
          <w:b w:val="0"/>
          <w:bCs w:val="0"/>
          <w:sz w:val="32"/>
          <w:szCs w:val="32"/>
        </w:rPr>
        <w:t>只填写最低限指标，即“不低于”。新出台的法律政策对工业项目容积率、建筑密度</w:t>
      </w:r>
      <w:r>
        <w:rPr>
          <w:rFonts w:hint="eastAsia" w:ascii="Times New Roman" w:hAnsi="Times New Roman" w:eastAsia="仿宋_GB2312" w:cs="Times New Roman"/>
          <w:b w:val="0"/>
          <w:bCs w:val="0"/>
          <w:sz w:val="32"/>
          <w:szCs w:val="32"/>
          <w:lang w:eastAsia="zh-CN"/>
        </w:rPr>
        <w:t>（建筑系数）</w:t>
      </w:r>
      <w:r>
        <w:rPr>
          <w:rFonts w:hint="default" w:ascii="Times New Roman" w:hAnsi="Times New Roman" w:eastAsia="仿宋_GB2312" w:cs="Times New Roman"/>
          <w:b w:val="0"/>
          <w:bCs w:val="0"/>
          <w:sz w:val="32"/>
          <w:szCs w:val="32"/>
        </w:rPr>
        <w:t>等另有规定的，签订出让合同时，从其规定</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七、本合同第十</w:t>
      </w:r>
      <w:r>
        <w:rPr>
          <w:rFonts w:hint="eastAsia" w:ascii="Times New Roman" w:hAnsi="Times New Roman" w:eastAsia="仿宋_GB2312" w:cs="Times New Roman"/>
          <w:b w:val="0"/>
          <w:bCs w:val="0"/>
          <w:sz w:val="32"/>
          <w:szCs w:val="32"/>
          <w:lang w:eastAsia="zh-CN"/>
        </w:rPr>
        <w:t>一</w:t>
      </w:r>
      <w:r>
        <w:rPr>
          <w:rFonts w:hint="default" w:ascii="Times New Roman" w:hAnsi="Times New Roman" w:eastAsia="仿宋_GB2312" w:cs="Times New Roman"/>
          <w:b w:val="0"/>
          <w:bCs w:val="0"/>
          <w:sz w:val="32"/>
          <w:szCs w:val="32"/>
          <w:lang w:eastAsia="zh-CN"/>
        </w:rPr>
        <w:t>条中，</w:t>
      </w:r>
      <w:r>
        <w:rPr>
          <w:rFonts w:hint="eastAsia" w:ascii="Times New Roman" w:hAnsi="Times New Roman" w:eastAsia="仿宋_GB2312" w:cs="Times New Roman"/>
          <w:b w:val="0"/>
          <w:bCs w:val="0"/>
          <w:sz w:val="32"/>
          <w:szCs w:val="32"/>
          <w:lang w:eastAsia="zh-CN"/>
        </w:rPr>
        <w:t>国有</w:t>
      </w:r>
      <w:r>
        <w:rPr>
          <w:rFonts w:hint="default" w:ascii="Times New Roman" w:hAnsi="Times New Roman" w:eastAsia="仿宋_GB2312" w:cs="Times New Roman"/>
          <w:b w:val="0"/>
          <w:bCs w:val="0"/>
          <w:sz w:val="32"/>
          <w:szCs w:val="32"/>
          <w:lang w:eastAsia="zh-CN"/>
        </w:rPr>
        <w:t>建设用地使用权出让价款支付方式按</w:t>
      </w:r>
      <w:r>
        <w:rPr>
          <w:rFonts w:hint="eastAsia" w:ascii="Times New Roman" w:hAnsi="Times New Roman" w:eastAsia="仿宋_GB2312" w:cs="Times New Roman"/>
          <w:b w:val="0"/>
          <w:bCs w:val="0"/>
          <w:sz w:val="32"/>
          <w:szCs w:val="32"/>
          <w:lang w:eastAsia="zh-CN"/>
        </w:rPr>
        <w:t>照出让文件、公告</w:t>
      </w:r>
      <w:r>
        <w:rPr>
          <w:rFonts w:hint="default" w:ascii="Times New Roman" w:hAnsi="Times New Roman" w:eastAsia="仿宋_GB2312" w:cs="Times New Roman"/>
          <w:b w:val="0"/>
          <w:bCs w:val="0"/>
          <w:sz w:val="32"/>
          <w:szCs w:val="32"/>
          <w:lang w:eastAsia="zh-CN"/>
        </w:rPr>
        <w:t>填写。</w:t>
      </w:r>
      <w:r>
        <w:rPr>
          <w:rFonts w:hint="eastAsia" w:ascii="Times New Roman" w:hAnsi="Times New Roman" w:eastAsia="仿宋_GB2312" w:cs="Times New Roman"/>
          <w:b w:val="0"/>
          <w:bCs w:val="0"/>
          <w:sz w:val="32"/>
          <w:szCs w:val="32"/>
          <w:lang w:eastAsia="zh-CN"/>
        </w:rPr>
        <w:t>国有</w:t>
      </w:r>
      <w:r>
        <w:rPr>
          <w:rFonts w:hint="default" w:ascii="Times New Roman" w:hAnsi="Times New Roman" w:eastAsia="仿宋_GB2312" w:cs="Times New Roman"/>
          <w:b w:val="0"/>
          <w:bCs w:val="0"/>
          <w:sz w:val="32"/>
          <w:szCs w:val="32"/>
          <w:lang w:eastAsia="zh-CN"/>
        </w:rPr>
        <w:t>建设用地使用权出让价款一次性付清的，选择第一款第一项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分期支付的，选择第一款第二项。</w:t>
      </w:r>
      <w:r>
        <w:rPr>
          <w:rFonts w:hint="eastAsia" w:ascii="Times New Roman" w:hAnsi="Times New Roman" w:eastAsia="仿宋_GB2312" w:cs="Times New Roman"/>
          <w:b w:val="0"/>
          <w:bCs w:val="0"/>
          <w:sz w:val="32"/>
          <w:szCs w:val="32"/>
          <w:lang w:eastAsia="zh-CN"/>
        </w:rPr>
        <w:t>分期付款约定的利息，从合同约定的第一期缴款时限次日起算，至第二期及以后各期实际付款当日止。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八、本合同第</w:t>
      </w:r>
      <w:r>
        <w:rPr>
          <w:rFonts w:hint="eastAsia" w:ascii="Times New Roman" w:hAnsi="Times New Roman" w:eastAsia="仿宋_GB2312" w:cs="Times New Roman"/>
          <w:b w:val="0"/>
          <w:bCs w:val="0"/>
          <w:sz w:val="32"/>
          <w:szCs w:val="32"/>
          <w:lang w:eastAsia="zh-CN"/>
        </w:rPr>
        <w:t>十二</w:t>
      </w:r>
      <w:r>
        <w:rPr>
          <w:rFonts w:hint="default" w:ascii="Times New Roman" w:hAnsi="Times New Roman" w:eastAsia="仿宋_GB2312" w:cs="Times New Roman"/>
          <w:b w:val="0"/>
          <w:bCs w:val="0"/>
          <w:sz w:val="32"/>
          <w:szCs w:val="32"/>
          <w:lang w:eastAsia="zh-CN"/>
        </w:rPr>
        <w:t>条中，土地条件按照双方实际约定选择和填写。属于待开发建设的用地，选择第一项</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属于原划拨（承租）</w:t>
      </w:r>
      <w:r>
        <w:rPr>
          <w:rFonts w:hint="eastAsia" w:ascii="Times New Roman" w:hAnsi="Times New Roman" w:eastAsia="仿宋_GB2312" w:cs="Times New Roman"/>
          <w:b w:val="0"/>
          <w:bCs w:val="0"/>
          <w:sz w:val="32"/>
          <w:szCs w:val="32"/>
          <w:lang w:eastAsia="zh-CN"/>
        </w:rPr>
        <w:t>国有</w:t>
      </w:r>
      <w:r>
        <w:rPr>
          <w:rFonts w:hint="default" w:ascii="Times New Roman" w:hAnsi="Times New Roman" w:eastAsia="仿宋_GB2312" w:cs="Times New Roman"/>
          <w:b w:val="0"/>
          <w:bCs w:val="0"/>
          <w:sz w:val="32"/>
          <w:szCs w:val="32"/>
          <w:lang w:eastAsia="zh-CN"/>
        </w:rPr>
        <w:t>建设用地使用权补办出让手续的，选择第二</w:t>
      </w:r>
      <w:bookmarkStart w:id="2" w:name="_GoBack"/>
      <w:r>
        <w:rPr>
          <w:rFonts w:hint="default" w:ascii="Times New Roman" w:hAnsi="Times New Roman" w:eastAsia="仿宋_GB2312" w:cs="Times New Roman"/>
          <w:b w:val="0"/>
          <w:bCs w:val="0"/>
          <w:sz w:val="32"/>
          <w:szCs w:val="32"/>
          <w:lang w:eastAsia="zh-CN"/>
        </w:rPr>
        <w:t>项。</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九、</w:t>
      </w:r>
      <w:r>
        <w:rPr>
          <w:rFonts w:hint="default" w:ascii="Times New Roman" w:hAnsi="Times New Roman" w:eastAsia="仿宋_GB2312" w:cs="Times New Roman"/>
          <w:sz w:val="32"/>
          <w:szCs w:val="32"/>
          <w:lang w:val="en-US" w:eastAsia="zh-CN"/>
        </w:rPr>
        <w:t>本合同第十四条中，宗地用于工业项目建设的，宗地范围内用于企业</w:t>
      </w:r>
      <w:r>
        <w:rPr>
          <w:rFonts w:hint="eastAsia" w:ascii="Times New Roman" w:hAnsi="Times New Roman" w:eastAsia="仿宋_GB2312" w:cs="Times New Roman"/>
          <w:sz w:val="32"/>
          <w:szCs w:val="32"/>
          <w:lang w:val="en-US" w:eastAsia="zh-CN"/>
        </w:rPr>
        <w:t>内部</w:t>
      </w:r>
      <w:r>
        <w:rPr>
          <w:rFonts w:hint="default" w:ascii="Times New Roman" w:hAnsi="Times New Roman" w:eastAsia="仿宋_GB2312" w:cs="Times New Roman"/>
          <w:sz w:val="32"/>
          <w:szCs w:val="32"/>
          <w:lang w:val="en-US" w:eastAsia="zh-CN"/>
        </w:rPr>
        <w:t>行政办公及生活服务设施的占地面积占受让宗地面积的比例，</w:t>
      </w:r>
      <w:r>
        <w:rPr>
          <w:rFonts w:hint="default" w:ascii="Times New Roman" w:hAnsi="Times New Roman" w:eastAsia="仿宋_GB2312" w:cs="Times New Roman"/>
          <w:b w:val="0"/>
          <w:bCs w:val="0"/>
          <w:sz w:val="32"/>
          <w:szCs w:val="32"/>
          <w:lang w:val="en-US" w:eastAsia="zh-CN"/>
        </w:rPr>
        <w:t>按照法律、行政法规和自然资源部制定的有关标准执行</w:t>
      </w:r>
      <w:r>
        <w:rPr>
          <w:rFonts w:hint="default" w:ascii="Times New Roman" w:hAnsi="Times New Roman" w:eastAsia="仿宋_GB2312" w:cs="Times New Roman"/>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十、本合同第十</w:t>
      </w:r>
      <w:r>
        <w:rPr>
          <w:rFonts w:hint="eastAsia" w:ascii="Times New Roman" w:hAnsi="Times New Roman" w:eastAsia="仿宋_GB2312" w:cs="Times New Roman"/>
          <w:b w:val="0"/>
          <w:bCs w:val="0"/>
          <w:sz w:val="32"/>
          <w:szCs w:val="32"/>
          <w:lang w:eastAsia="zh-CN"/>
        </w:rPr>
        <w:t>五</w:t>
      </w:r>
      <w:r>
        <w:rPr>
          <w:rFonts w:hint="default" w:ascii="Times New Roman" w:hAnsi="Times New Roman" w:eastAsia="仿宋_GB2312" w:cs="Times New Roman"/>
          <w:b w:val="0"/>
          <w:bCs w:val="0"/>
          <w:sz w:val="32"/>
          <w:szCs w:val="32"/>
          <w:lang w:eastAsia="zh-CN"/>
        </w:rPr>
        <w:t>条中，受让宗地约定开工时间和竣工时间</w:t>
      </w:r>
      <w:r>
        <w:rPr>
          <w:rFonts w:hint="eastAsia" w:ascii="Times New Roman" w:hAnsi="Times New Roman" w:eastAsia="仿宋_GB2312" w:cs="Times New Roman"/>
          <w:b w:val="0"/>
          <w:bCs w:val="0"/>
          <w:sz w:val="32"/>
          <w:szCs w:val="32"/>
          <w:lang w:eastAsia="zh-CN"/>
        </w:rPr>
        <w:t>应当符合国家有关法律法规和政策规定</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十一、</w:t>
      </w:r>
      <w:r>
        <w:rPr>
          <w:rFonts w:hint="default" w:ascii="Times New Roman" w:hAnsi="Times New Roman" w:eastAsia="仿宋_GB2312" w:cs="Times New Roman"/>
          <w:b w:val="0"/>
          <w:bCs w:val="0"/>
          <w:sz w:val="32"/>
          <w:szCs w:val="32"/>
        </w:rPr>
        <w:t>本合同第十七条中，在土地出让期限内，非经营性用地改变为经营性用地的，应当按照《国务院关于促进节约集约用地的通知》（国发〔2008〕3号）的规定执行。国家新出台的法律政策对改变土地用途和规划条件另有规定的，签订出让合同时，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十二、本合同第二十条中，属于房屋开发的，选择第一项</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属于土地综合开发的，选择第二项。</w:t>
      </w:r>
      <w:r>
        <w:rPr>
          <w:rFonts w:hint="default" w:ascii="Times New Roman" w:hAnsi="Times New Roman" w:eastAsia="仿宋_GB2312" w:cs="Times New Roman"/>
          <w:b w:val="0"/>
          <w:bCs w:val="0"/>
          <w:sz w:val="32"/>
          <w:szCs w:val="32"/>
        </w:rPr>
        <w:t>出让文件、公告有其他转让条件</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，可在第三条补充填写。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十三、本合同第</w:t>
      </w:r>
      <w:r>
        <w:rPr>
          <w:rFonts w:hint="eastAsia" w:ascii="Times New Roman" w:hAnsi="Times New Roman" w:eastAsia="仿宋_GB2312" w:cs="Times New Roman"/>
          <w:b w:val="0"/>
          <w:bCs w:val="0"/>
          <w:sz w:val="32"/>
          <w:szCs w:val="32"/>
          <w:lang w:eastAsia="zh-CN"/>
        </w:rPr>
        <w:t>二十九</w:t>
      </w:r>
      <w:r>
        <w:rPr>
          <w:rFonts w:hint="default" w:ascii="Times New Roman" w:hAnsi="Times New Roman" w:eastAsia="仿宋_GB2312" w:cs="Times New Roman"/>
          <w:b w:val="0"/>
          <w:bCs w:val="0"/>
          <w:sz w:val="32"/>
          <w:szCs w:val="32"/>
          <w:lang w:eastAsia="zh-CN"/>
        </w:rPr>
        <w:t>条和第三十</w:t>
      </w:r>
      <w:r>
        <w:rPr>
          <w:rFonts w:hint="eastAsia"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lang w:eastAsia="zh-CN"/>
        </w:rPr>
        <w:t>条中，受让人不能按合同约定及时支付国有建设用地使用权出让价款，出让人不能按合同约定及时提供出让土地的，应当根据《国务院办公厅关于规范国有土地使用权出让收支管理的通知》（国办发〔2006〕100号）的有关规定和双方当事人权利义务对等原则，违约金比例按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填写。国家新出台的法律政策对受让人不能按时支付国有建设用地使用权出让价款的违约金比例有规定的，签订出让合同时，应当按照最新规定填写。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十四、</w:t>
      </w:r>
      <w:r>
        <w:rPr>
          <w:rFonts w:hint="default" w:ascii="Times New Roman" w:hAnsi="Times New Roman" w:eastAsia="仿宋_GB2312" w:cs="Times New Roman"/>
          <w:sz w:val="32"/>
          <w:szCs w:val="32"/>
          <w:lang w:eastAsia="zh-CN"/>
        </w:rPr>
        <w:t>本合同</w:t>
      </w:r>
      <w:r>
        <w:rPr>
          <w:rFonts w:hint="eastAsia" w:ascii="Times New Roman" w:hAnsi="Times New Roman" w:eastAsia="仿宋_GB2312" w:cs="Times New Roman"/>
          <w:sz w:val="32"/>
          <w:szCs w:val="32"/>
          <w:lang w:eastAsia="zh-CN"/>
        </w:rPr>
        <w:t>项下宗地</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坐</w:t>
      </w:r>
      <w:r>
        <w:rPr>
          <w:rFonts w:hint="default" w:ascii="Times New Roman" w:hAnsi="Times New Roman" w:eastAsia="仿宋_GB2312" w:cs="Times New Roman"/>
          <w:sz w:val="32"/>
          <w:szCs w:val="32"/>
          <w:lang w:eastAsia="zh-CN"/>
        </w:rPr>
        <w:t>落、界址、界限、土地用途、规划条件、出让期限等内容必须规范填写，不得空项。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十五、</w:t>
      </w:r>
      <w:r>
        <w:rPr>
          <w:rFonts w:hint="default" w:ascii="Times New Roman" w:hAnsi="Times New Roman" w:eastAsia="仿宋_GB2312" w:cs="Times New Roman"/>
          <w:b w:val="0"/>
          <w:bCs w:val="0"/>
          <w:sz w:val="32"/>
          <w:szCs w:val="32"/>
          <w:lang w:eastAsia="zh-CN"/>
        </w:rPr>
        <w:t>本合同</w:t>
      </w:r>
      <w:r>
        <w:rPr>
          <w:rFonts w:hint="eastAsia" w:ascii="Times New Roman" w:hAnsi="Times New Roman" w:eastAsia="仿宋_GB2312" w:cs="Times New Roman"/>
          <w:b w:val="0"/>
          <w:bCs w:val="0"/>
          <w:sz w:val="32"/>
          <w:szCs w:val="32"/>
          <w:lang w:eastAsia="zh-CN"/>
        </w:rPr>
        <w:t>中</w:t>
      </w:r>
      <w:r>
        <w:rPr>
          <w:rFonts w:hint="default" w:ascii="Times New Roman" w:hAnsi="Times New Roman" w:eastAsia="仿宋_GB2312" w:cs="Times New Roman"/>
          <w:b w:val="0"/>
          <w:bCs w:val="0"/>
          <w:sz w:val="32"/>
          <w:szCs w:val="32"/>
          <w:lang w:eastAsia="zh-CN"/>
        </w:rPr>
        <w:t>的</w:t>
      </w:r>
      <w:r>
        <w:rPr>
          <w:rFonts w:hint="eastAsia" w:ascii="Times New Roman" w:hAnsi="Times New Roman" w:eastAsia="仿宋_GB2312" w:cs="Times New Roman"/>
          <w:b w:val="0"/>
          <w:bCs w:val="0"/>
          <w:sz w:val="32"/>
          <w:szCs w:val="32"/>
          <w:lang w:eastAsia="zh-CN"/>
        </w:rPr>
        <w:t>“某日之内”、“某日之前”</w:t>
      </w:r>
      <w:r>
        <w:rPr>
          <w:rFonts w:hint="default" w:ascii="Times New Roman" w:hAnsi="Times New Roman" w:eastAsia="仿宋_GB2312" w:cs="Times New Roman"/>
          <w:b w:val="0"/>
          <w:bCs w:val="0"/>
          <w:sz w:val="32"/>
          <w:szCs w:val="32"/>
          <w:lang w:eastAsia="zh-CN"/>
        </w:rPr>
        <w:t>等</w:t>
      </w:r>
      <w:r>
        <w:rPr>
          <w:rFonts w:hint="eastAsia" w:ascii="Times New Roman" w:hAnsi="Times New Roman" w:eastAsia="仿宋_GB2312" w:cs="Times New Roman"/>
          <w:b w:val="0"/>
          <w:bCs w:val="0"/>
          <w:sz w:val="32"/>
          <w:szCs w:val="32"/>
          <w:lang w:eastAsia="zh-CN"/>
        </w:rPr>
        <w:t>非具体日期的</w:t>
      </w:r>
      <w:r>
        <w:rPr>
          <w:rFonts w:hint="default" w:ascii="Times New Roman" w:hAnsi="Times New Roman" w:eastAsia="仿宋_GB2312" w:cs="Times New Roman"/>
          <w:b w:val="0"/>
          <w:bCs w:val="0"/>
          <w:sz w:val="32"/>
          <w:szCs w:val="32"/>
          <w:lang w:eastAsia="zh-CN"/>
        </w:rPr>
        <w:t>时限，如遇法定节假日或者休息日的，顺延至下一个工作日</w:t>
      </w:r>
      <w:r>
        <w:rPr>
          <w:rFonts w:hint="eastAsia" w:ascii="Times New Roman" w:hAnsi="Times New Roman" w:eastAsia="仿宋_GB2312" w:cs="Times New Roman"/>
          <w:b w:val="0"/>
          <w:bCs w:val="0"/>
          <w:sz w:val="32"/>
          <w:szCs w:val="32"/>
          <w:lang w:eastAsia="zh-CN"/>
        </w:rPr>
        <w:t>；本合同中的“某日”包含当日。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十</w:t>
      </w:r>
      <w:r>
        <w:rPr>
          <w:rFonts w:hint="eastAsia" w:ascii="Times New Roman" w:hAnsi="Times New Roman" w:eastAsia="仿宋_GB2312" w:cs="Times New Roman"/>
          <w:b w:val="0"/>
          <w:bCs w:val="0"/>
          <w:sz w:val="32"/>
          <w:szCs w:val="32"/>
          <w:lang w:eastAsia="zh-CN"/>
        </w:rPr>
        <w:t>六</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lang w:val="en-US" w:eastAsia="zh-CN"/>
        </w:rPr>
        <w:t>本合同示范文本供双方当事人参照使用。当事人可以</w:t>
      </w:r>
      <w:r>
        <w:rPr>
          <w:rFonts w:hint="default" w:ascii="Times New Roman" w:hAnsi="Times New Roman" w:eastAsia="仿宋_GB2312" w:cs="Times New Roman"/>
          <w:sz w:val="32"/>
          <w:szCs w:val="32"/>
          <w:lang w:val="en-US" w:eastAsia="zh-CN"/>
        </w:rPr>
        <w:t>在法律法规政策允许范围内，</w:t>
      </w:r>
      <w:r>
        <w:rPr>
          <w:rFonts w:hint="eastAsia" w:ascii="Times New Roman" w:hAnsi="Times New Roman" w:eastAsia="仿宋_GB2312" w:cs="Times New Roman"/>
          <w:sz w:val="32"/>
          <w:szCs w:val="32"/>
          <w:lang w:val="en-US" w:eastAsia="zh-CN"/>
        </w:rPr>
        <w:t>对合同示范文本中的有关条款进行修改、补充和完善。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sz w:val="32"/>
          <w:szCs w:val="32"/>
          <w:lang w:eastAsia="zh-CN"/>
        </w:rPr>
        <w:t>十七、</w:t>
      </w:r>
      <w:r>
        <w:rPr>
          <w:rFonts w:hint="default" w:ascii="Times New Roman" w:hAnsi="Times New Roman" w:eastAsia="仿宋_GB2312" w:cs="Times New Roman"/>
          <w:b w:val="0"/>
          <w:bCs w:val="0"/>
          <w:sz w:val="32"/>
          <w:szCs w:val="32"/>
          <w:lang w:eastAsia="zh-CN"/>
        </w:rPr>
        <w:t>本合同</w:t>
      </w:r>
      <w:r>
        <w:rPr>
          <w:rFonts w:hint="eastAsia" w:ascii="Times New Roman" w:hAnsi="Times New Roman" w:eastAsia="仿宋_GB2312" w:cs="Times New Roman"/>
          <w:b w:val="0"/>
          <w:bCs w:val="0"/>
          <w:sz w:val="32"/>
          <w:szCs w:val="32"/>
          <w:lang w:eastAsia="zh-CN"/>
        </w:rPr>
        <w:t>示范文本</w:t>
      </w:r>
      <w:r>
        <w:rPr>
          <w:rFonts w:hint="default" w:ascii="Times New Roman" w:hAnsi="Times New Roman" w:eastAsia="仿宋_GB2312" w:cs="Times New Roman"/>
          <w:b w:val="0"/>
          <w:bCs w:val="0"/>
          <w:sz w:val="32"/>
          <w:szCs w:val="32"/>
          <w:lang w:eastAsia="zh-CN"/>
        </w:rPr>
        <w:t>由</w:t>
      </w:r>
      <w:r>
        <w:rPr>
          <w:rFonts w:hint="eastAsia" w:ascii="Times New Roman" w:hAnsi="Times New Roman" w:eastAsia="仿宋_GB2312" w:cs="Times New Roman"/>
          <w:b w:val="0"/>
          <w:bCs w:val="0"/>
          <w:sz w:val="32"/>
          <w:szCs w:val="32"/>
          <w:lang w:eastAsia="zh-CN"/>
        </w:rPr>
        <w:t>自然</w:t>
      </w:r>
      <w:r>
        <w:rPr>
          <w:rFonts w:hint="default" w:ascii="Times New Roman" w:hAnsi="Times New Roman" w:eastAsia="仿宋_GB2312" w:cs="Times New Roman"/>
          <w:b w:val="0"/>
          <w:bCs w:val="0"/>
          <w:sz w:val="32"/>
          <w:szCs w:val="32"/>
          <w:lang w:eastAsia="zh-CN"/>
        </w:rPr>
        <w:t>资源部</w:t>
      </w:r>
      <w:r>
        <w:rPr>
          <w:rFonts w:hint="eastAsia" w:ascii="Times New Roman" w:hAnsi="Times New Roman" w:eastAsia="仿宋_GB2312" w:cs="Times New Roman"/>
          <w:b w:val="0"/>
          <w:bCs w:val="0"/>
          <w:sz w:val="32"/>
          <w:szCs w:val="32"/>
          <w:lang w:eastAsia="zh-CN"/>
        </w:rPr>
        <w:t>会同市场监管</w:t>
      </w:r>
      <w:r>
        <w:rPr>
          <w:rFonts w:hint="default" w:ascii="Times New Roman" w:hAnsi="Times New Roman" w:eastAsia="仿宋_GB2312" w:cs="Times New Roman"/>
          <w:b w:val="0"/>
          <w:bCs w:val="0"/>
          <w:sz w:val="32"/>
          <w:szCs w:val="32"/>
          <w:lang w:eastAsia="zh-CN"/>
        </w:rPr>
        <w:t>总局负责解释。</w:t>
      </w:r>
    </w:p>
    <w:p>
      <w:pPr>
        <w:spacing w:line="600" w:lineRule="exact"/>
        <w:jc w:val="both"/>
        <w:rPr>
          <w:rFonts w:hint="default" w:ascii="Times New Roman" w:hAnsi="Times New Roman" w:eastAsia="黑体" w:cs="Times New Roman"/>
          <w:sz w:val="32"/>
          <w:szCs w:val="32"/>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p>
    <w:p>
      <w:pPr>
        <w:spacing w:line="600" w:lineRule="exact"/>
        <w:ind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p>
    <w:p>
      <w:pPr>
        <w:spacing w:line="600" w:lineRule="exact"/>
        <w:jc w:val="center"/>
        <w:rPr>
          <w:rFonts w:ascii="Times New Roman" w:hAnsi="Times New Roman" w:cs="Times New Roman"/>
          <w:b/>
          <w:bCs/>
          <w:sz w:val="28"/>
          <w:szCs w:val="36"/>
        </w:rPr>
      </w:pPr>
      <w:r>
        <w:rPr>
          <w:rFonts w:hint="default" w:ascii="Times New Roman" w:hAnsi="Times New Roman" w:eastAsia="方正小标宋_GBK" w:cs="Times New Roman"/>
          <w:sz w:val="32"/>
          <w:szCs w:val="32"/>
        </w:rPr>
        <w:t>国有建设用地使用权出让合同</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宋体" w:cs="Times New Roman"/>
          <w:sz w:val="32"/>
          <w:szCs w:val="32"/>
          <w:lang w:val="en-US" w:eastAsia="zh-CN"/>
        </w:rPr>
      </w:pPr>
      <w:r>
        <w:rPr>
          <w:rFonts w:hint="default" w:ascii="Times New Roman" w:hAnsi="Times New Roman" w:eastAsia="仿宋_GB2312" w:cs="Times New Roman"/>
          <w:sz w:val="32"/>
          <w:szCs w:val="32"/>
        </w:rPr>
        <w:t>本合同双方当事人：</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出让人：中华人民共和国</w:t>
      </w:r>
      <w:r>
        <w:rPr>
          <w:rFonts w:hint="eastAsia" w:ascii="Times New Roman" w:hAnsi="Times New Roman" w:eastAsia="仿宋_GB2312" w:cs="Times New Roman"/>
          <w:sz w:val="32"/>
          <w:szCs w:val="32"/>
          <w:u w:val="single"/>
          <w:lang w:val="en-US" w:eastAsia="zh-CN"/>
        </w:rPr>
        <w:t>广东省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自治区，直辖市）</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lang w:val="en-US" w:eastAsia="zh-CN"/>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住所：</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受让人：</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lang w:eastAsia="zh-CN"/>
        </w:rPr>
        <w:t>或者身份证件号码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住所：</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i w:val="0"/>
          <w:iCs w:val="0"/>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传真：</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rPr>
          <w:rFonts w:ascii="Times New Roman" w:hAnsi="Times New Roman" w:eastAsia="仿宋_GB2312" w:cs="Times New Roman"/>
          <w:sz w:val="24"/>
        </w:rPr>
      </w:pPr>
    </w:p>
    <w:p>
      <w:pPr>
        <w:widowControl/>
        <w:spacing w:line="600" w:lineRule="exact"/>
        <w:jc w:val="left"/>
        <w:rPr>
          <w:rFonts w:ascii="Times New Roman" w:hAnsi="Times New Roman" w:cs="Times New Roman"/>
          <w:sz w:val="24"/>
        </w:rPr>
      </w:pPr>
      <w:r>
        <w:rPr>
          <w:rFonts w:ascii="Times New Roman" w:hAnsi="Times New Roman" w:cs="Times New Roman"/>
          <w:sz w:val="24"/>
        </w:rPr>
        <w:br w:type="page"/>
      </w:r>
    </w:p>
    <w:p>
      <w:pPr>
        <w:spacing w:line="600" w:lineRule="exact"/>
        <w:rPr>
          <w:rFonts w:ascii="Times New Roman" w:hAnsi="Times New Roman" w:cs="Times New Roman"/>
          <w:sz w:val="24"/>
        </w:rPr>
      </w:pP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第一条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第二条  受让人对依法取得的国有建设用地使用权，在出让期限内享有占有、使用和收益的权利，有权利用该土地依法建造建筑物、构筑物及其附属设施。</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第三条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侵害</w:t>
      </w:r>
      <w:r>
        <w:rPr>
          <w:rFonts w:hint="eastAsia" w:ascii="Times New Roman" w:hAnsi="Times New Roman" w:eastAsia="仿宋_GB2312" w:cs="Times New Roman"/>
          <w:sz w:val="32"/>
          <w:szCs w:val="32"/>
          <w:lang w:eastAsia="zh-CN"/>
        </w:rPr>
        <w:t>依法设立的国有建设用地使用</w:t>
      </w:r>
      <w:r>
        <w:rPr>
          <w:rFonts w:hint="default" w:ascii="Times New Roman" w:hAnsi="Times New Roman" w:eastAsia="仿宋_GB2312" w:cs="Times New Roman"/>
          <w:sz w:val="32"/>
          <w:szCs w:val="32"/>
        </w:rPr>
        <w:t>权，造成权利人损害的，权利人可以依法请求损害赔偿，也可以依法请求承担其他民事责任。</w:t>
      </w:r>
    </w:p>
    <w:p>
      <w:pPr>
        <w:spacing w:before="156" w:beforeLines="50" w:after="156" w:afterLines="50" w:line="600" w:lineRule="exact"/>
        <w:jc w:val="center"/>
        <w:outlineLvl w:val="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第二章  出让土地</w:t>
      </w:r>
      <w:r>
        <w:rPr>
          <w:rFonts w:hint="eastAsia" w:ascii="Times New Roman" w:hAnsi="Times New Roman" w:eastAsia="黑体" w:cs="Times New Roman"/>
          <w:sz w:val="32"/>
          <w:szCs w:val="32"/>
          <w:lang w:eastAsia="zh-CN"/>
        </w:rPr>
        <w:t>的交付</w:t>
      </w:r>
      <w:r>
        <w:rPr>
          <w:rFonts w:hint="default" w:ascii="Times New Roman" w:hAnsi="Times New Roman" w:eastAsia="黑体" w:cs="Times New Roman"/>
          <w:sz w:val="32"/>
          <w:szCs w:val="32"/>
        </w:rPr>
        <w:t>与出让价款</w:t>
      </w:r>
      <w:r>
        <w:rPr>
          <w:rFonts w:hint="eastAsia" w:ascii="Times New Roman" w:hAnsi="Times New Roman" w:eastAsia="黑体" w:cs="Times New Roman"/>
          <w:sz w:val="32"/>
          <w:szCs w:val="32"/>
          <w:lang w:eastAsia="zh-CN"/>
        </w:rPr>
        <w:t>的缴纳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第四条  出让土地的所有权属</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中华人民共和国，出让人根据法律的授权出让国有建设用地使用权，地下资源、埋藏物不属于国有建设用地使用权出让范围。</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第五条  </w:t>
      </w:r>
      <w:r>
        <w:rPr>
          <w:rFonts w:hint="default" w:ascii="Times New Roman" w:hAnsi="Times New Roman" w:eastAsia="仿宋_GB2312" w:cs="Times New Roman"/>
          <w:kern w:val="2"/>
          <w:sz w:val="32"/>
          <w:szCs w:val="32"/>
        </w:rPr>
        <w:t>本合同项下出让宗地</w:t>
      </w:r>
      <w:r>
        <w:rPr>
          <w:rFonts w:hint="default" w:ascii="Times New Roman" w:hAnsi="Times New Roman" w:eastAsia="仿宋_GB2312" w:cs="Times New Roman"/>
          <w:kern w:val="2"/>
          <w:sz w:val="32"/>
          <w:szCs w:val="32"/>
          <w:lang w:eastAsia="zh-CN"/>
        </w:rPr>
        <w:t>的</w:t>
      </w:r>
      <w:r>
        <w:rPr>
          <w:rFonts w:hint="default" w:ascii="Times New Roman" w:hAnsi="Times New Roman" w:eastAsia="仿宋_GB2312" w:cs="Times New Roman"/>
          <w:b w:val="0"/>
          <w:bCs w:val="0"/>
          <w:sz w:val="32"/>
          <w:szCs w:val="32"/>
          <w:lang w:val="en-US" w:eastAsia="zh-CN"/>
        </w:rPr>
        <w:t>不动产单元代码</w:t>
      </w:r>
      <w:r>
        <w:rPr>
          <w:rFonts w:hint="default" w:ascii="Times New Roman" w:hAnsi="Times New Roman" w:eastAsia="仿宋_GB2312" w:cs="Times New Roman"/>
          <w:kern w:val="2"/>
          <w:sz w:val="32"/>
          <w:szCs w:val="32"/>
        </w:rPr>
        <w:t>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宗地总面积</w:t>
      </w: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平方米），其中出让宗地面积为大写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本合同项下的出让宗地坐落于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本合同项下出让宗地的平面界址为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。出让宗地的平面界址图见附件1。</w:t>
      </w:r>
    </w:p>
    <w:p>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本合同项下出让宗地的竖向界限以</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为上界限，以</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为下界限，高差为</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米。出让宗地竖向界限见附件2。</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出让宗地空间范围是以上述界址点所构成的垂直面和上、下界限高程平面封闭形成的空间范围。</w:t>
      </w:r>
    </w:p>
    <w:p>
      <w:pPr>
        <w:spacing w:line="600" w:lineRule="exact"/>
        <w:ind w:firstLine="640" w:firstLineChars="200"/>
        <w:rPr>
          <w:rFonts w:hint="eastAsia" w:ascii="仿宋_GB2312" w:hAnsi="仿宋_GB2312" w:eastAsia="仿宋_GB2312" w:cs="仿宋_GB2312"/>
          <w:b w:val="0"/>
          <w:bCs w:val="0"/>
          <w:sz w:val="22"/>
          <w:szCs w:val="22"/>
          <w:lang w:eastAsia="zh-CN"/>
        </w:rPr>
      </w:pPr>
      <w:r>
        <w:rPr>
          <w:rFonts w:hint="default" w:ascii="Times New Roman" w:hAnsi="Times New Roman" w:eastAsia="仿宋_GB2312" w:cs="Times New Roman"/>
          <w:sz w:val="32"/>
          <w:szCs w:val="32"/>
        </w:rPr>
        <w:t xml:space="preserve">第六条  </w:t>
      </w:r>
      <w:r>
        <w:rPr>
          <w:rFonts w:hint="eastAsia" w:ascii="仿宋_GB2312" w:hAnsi="仿宋_GB2312" w:eastAsia="仿宋_GB2312" w:cs="仿宋_GB2312"/>
          <w:b w:val="0"/>
          <w:bCs w:val="0"/>
          <w:sz w:val="32"/>
          <w:szCs w:val="32"/>
        </w:rPr>
        <w:t>本合同项下</w:t>
      </w:r>
      <w:r>
        <w:rPr>
          <w:rFonts w:hint="eastAsia" w:ascii="仿宋_GB2312" w:hAnsi="仿宋_GB2312" w:eastAsia="仿宋_GB2312" w:cs="仿宋_GB2312"/>
          <w:b w:val="0"/>
          <w:bCs w:val="0"/>
          <w:sz w:val="32"/>
          <w:szCs w:val="32"/>
          <w:lang w:eastAsia="zh-CN"/>
        </w:rPr>
        <w:t>出让宗地的</w:t>
      </w:r>
      <w:r>
        <w:rPr>
          <w:rFonts w:hint="eastAsia" w:ascii="仿宋_GB2312" w:hAnsi="仿宋_GB2312" w:eastAsia="仿宋_GB2312" w:cs="仿宋_GB2312"/>
          <w:b w:val="0"/>
          <w:bCs w:val="0"/>
          <w:sz w:val="32"/>
          <w:szCs w:val="32"/>
        </w:rPr>
        <w:t>用途为</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仿宋_GB2312" w:hAnsi="仿宋_GB2312" w:eastAsia="仿宋_GB2312" w:cs="仿宋_GB2312"/>
          <w:b w:val="0"/>
          <w:bCs w:val="0"/>
          <w:sz w:val="22"/>
          <w:szCs w:val="22"/>
          <w:lang w:eastAsia="zh-CN"/>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第七条  受让人在本合同项下宗地范围内新建建筑物、构筑物及其附属设施的，应符合市（县）</w:t>
      </w:r>
      <w:r>
        <w:rPr>
          <w:rFonts w:hint="eastAsia"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政府自然资源</w:t>
      </w:r>
      <w:r>
        <w:rPr>
          <w:rFonts w:hint="default" w:ascii="Times New Roman" w:hAnsi="Times New Roman" w:eastAsia="仿宋_GB2312" w:cs="Times New Roman"/>
          <w:sz w:val="32"/>
          <w:szCs w:val="32"/>
          <w:lang w:val="en-US" w:eastAsia="zh-CN"/>
        </w:rPr>
        <w:t>主管</w:t>
      </w:r>
      <w:r>
        <w:rPr>
          <w:rFonts w:hint="default" w:ascii="Times New Roman" w:hAnsi="Times New Roman" w:eastAsia="仿宋_GB2312" w:cs="Times New Roman"/>
          <w:sz w:val="32"/>
          <w:szCs w:val="32"/>
        </w:rPr>
        <w:t>部门确定的出让宗地规划条件（见附件3）。其中：</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建筑总面积不大于</w:t>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不小于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平方米；容积率不高于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；建筑</w:t>
      </w:r>
      <w:r>
        <w:rPr>
          <w:rFonts w:hint="default" w:ascii="Times New Roman" w:hAnsi="Times New Roman" w:eastAsia="仿宋_GB2312" w:cs="Times New Roman"/>
          <w:sz w:val="32"/>
          <w:szCs w:val="32"/>
          <w:lang w:eastAsia="zh-CN"/>
        </w:rPr>
        <w:t>高度不高于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米</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eastAsia="zh-CN"/>
        </w:rPr>
        <w:t>不低于</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eastAsia="zh-CN"/>
        </w:rPr>
        <w:t>米</w:t>
      </w:r>
      <w:r>
        <w:rPr>
          <w:rFonts w:hint="default" w:ascii="Times New Roman" w:hAnsi="Times New Roman" w:eastAsia="仿宋_GB2312" w:cs="Times New Roman"/>
          <w:sz w:val="32"/>
          <w:szCs w:val="32"/>
        </w:rPr>
        <w:t>；建筑密度</w:t>
      </w:r>
      <w:r>
        <w:rPr>
          <w:rFonts w:hint="default" w:ascii="Times New Roman" w:hAnsi="Times New Roman" w:eastAsia="仿宋_GB2312" w:cs="Times New Roman"/>
          <w:sz w:val="32"/>
          <w:szCs w:val="32"/>
          <w:lang w:eastAsia="zh-CN"/>
        </w:rPr>
        <w:t>（建筑系数）</w:t>
      </w:r>
      <w:r>
        <w:rPr>
          <w:rFonts w:hint="default" w:ascii="Times New Roman" w:hAnsi="Times New Roman" w:eastAsia="仿宋_GB2312" w:cs="Times New Roman"/>
          <w:sz w:val="32"/>
          <w:szCs w:val="32"/>
        </w:rPr>
        <w:t>不高于</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；绿地率不高于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不低于</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；其他土地利用要求</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本合同项下的国有建设用地使用权出让期限为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年，按本合同第十二条约定的交付土地之日起算；原划拨（承租）国有建设用地使用权补办出让手续的，出让期限自</w:t>
      </w:r>
      <w:r>
        <w:rPr>
          <w:rFonts w:hint="default" w:ascii="Times New Roman" w:hAnsi="Times New Roman" w:eastAsia="仿宋_GB2312" w:cs="Times New Roman"/>
          <w:sz w:val="32"/>
          <w:szCs w:val="32"/>
          <w:lang w:eastAsia="zh-CN"/>
        </w:rPr>
        <w:t>出让</w:t>
      </w:r>
      <w:r>
        <w:rPr>
          <w:rFonts w:hint="default" w:ascii="Times New Roman" w:hAnsi="Times New Roman" w:eastAsia="仿宋_GB2312" w:cs="Times New Roman"/>
          <w:sz w:val="32"/>
          <w:szCs w:val="32"/>
        </w:rPr>
        <w:t>合同签订之日起算。</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本合同项下宗地的国有建设用地使用权出让价款为人民币大写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，每平方米人民币</w:t>
      </w:r>
      <w:r>
        <w:rPr>
          <w:rFonts w:hint="default" w:ascii="Times New Roman" w:hAnsi="Times New Roman" w:eastAsia="仿宋_GB2312" w:cs="Times New Roman"/>
          <w:sz w:val="32"/>
          <w:szCs w:val="32"/>
        </w:rPr>
        <w:t>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rPr>
        <w:t>元（</w:t>
      </w:r>
      <w:r>
        <w:rPr>
          <w:rFonts w:hint="default" w:ascii="Times New Roman" w:hAnsi="Times New Roman" w:eastAsia="仿宋_GB2312" w:cs="Times New Roman"/>
          <w:sz w:val="32"/>
          <w:szCs w:val="32"/>
        </w:rPr>
        <w:t>小</w:t>
      </w:r>
      <w:r>
        <w:rPr>
          <w:rFonts w:ascii="Times New Roman" w:hAnsi="Times New Roman" w:eastAsia="仿宋_GB2312" w:cs="Times New Roman"/>
          <w:sz w:val="32"/>
          <w:szCs w:val="32"/>
        </w:rPr>
        <w:t>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rPr>
        <w:t>元）</w:t>
      </w:r>
      <w:r>
        <w:rPr>
          <w:rFonts w:hint="default" w:ascii="Times New Roman" w:hAnsi="Times New Roman" w:eastAsia="仿宋_GB2312" w:cs="Times New Roman"/>
          <w:sz w:val="32"/>
          <w:szCs w:val="32"/>
        </w:rPr>
        <w:t>。</w:t>
      </w:r>
    </w:p>
    <w:p>
      <w:pPr>
        <w:wordWrap/>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第十条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本合同项下宗地的定金为人民币大写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元（小写</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元），定金抵作土地出让价款。</w:t>
      </w:r>
    </w:p>
    <w:p>
      <w:pPr>
        <w:wordWrap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受让人同意按照本条第一款第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项的规定向出让人支付国有建设用地使用权出让价款：</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（一）本合同签订之日起</w:t>
      </w:r>
      <w:r>
        <w:rPr>
          <w:rFonts w:hint="eastAsia" w:ascii="Times New Roman" w:hAnsi="Times New Roman" w:eastAsia="仿宋_GB2312" w:cs="Times New Roman"/>
          <w:sz w:val="32"/>
          <w:szCs w:val="32"/>
          <w:u w:val="single"/>
          <w:lang w:val="en-US" w:eastAsia="zh-CN"/>
        </w:rPr>
        <w:t>30</w:t>
      </w:r>
      <w:r>
        <w:rPr>
          <w:rFonts w:hint="default" w:ascii="Times New Roman" w:hAnsi="Times New Roman" w:eastAsia="仿宋_GB2312" w:cs="Times New Roman"/>
          <w:sz w:val="32"/>
          <w:szCs w:val="32"/>
        </w:rPr>
        <w:t>日内，一次性付清国有建设用地使用权出让价款;</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（二）按以下时间和金额分</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rPr>
        <w:t>期向出让人支付国有建设用地使用权出让价款。</w:t>
      </w:r>
    </w:p>
    <w:p>
      <w:pPr>
        <w:spacing w:line="360" w:lineRule="auto"/>
        <w:ind w:firstLine="500"/>
      </w:pPr>
      <w:r>
        <w:rPr>
          <w:rFonts w:ascii="仿宋_GB2312" w:hAnsi="仿宋_GB2312" w:eastAsia="仿宋_GB2312" w:cs="仿宋_GB2312"/>
          <w:sz w:val="32"/>
        </w:rPr>
        <w:t xml:space="preserve"> 第一期 人民币大写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 xml:space="preserve">万 元(小写 </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 xml:space="preserve"> 元),付款时间：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仿宋_GB2312" w:hAnsi="仿宋_GB2312" w:eastAsia="仿宋_GB2312" w:cs="仿宋_GB2312"/>
          <w:sz w:val="32"/>
        </w:rPr>
        <w:t>日之前。</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分期支付国有建设用地使用权出让价款的，受让人在支付第二期及以后各期国有建设用地使用权出让价款时，同意按照</w:t>
      </w:r>
      <w:r>
        <w:rPr>
          <w:rFonts w:hint="default" w:ascii="Times New Roman" w:hAnsi="Times New Roman" w:eastAsia="仿宋_GB2312" w:cs="Times New Roman"/>
          <w:sz w:val="32"/>
          <w:szCs w:val="32"/>
          <w:lang w:eastAsia="zh-CN"/>
        </w:rPr>
        <w:t>支付</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一期土地出让价款之日中国人民银行公布执行的</w:t>
      </w:r>
      <w:r>
        <w:rPr>
          <w:rFonts w:hint="default" w:ascii="Times New Roman" w:hAnsi="Times New Roman" w:eastAsia="仿宋_GB2312" w:cs="Times New Roman"/>
          <w:sz w:val="32"/>
          <w:szCs w:val="32"/>
          <w:lang w:val="en-US" w:eastAsia="zh-CN"/>
        </w:rPr>
        <w:t>1年期贷款市场报价利率（LPR），向出让人支付利息。</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出让人同意在</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日前将出让宗地交付给受让人，交付土地时该宗地土地权利清晰、安置补偿落实到位，应达到本条第</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项规定的土地条件：</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（一）场地平整达到</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；周围基础设施达到</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（二）现状土地条件</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受让人应在按本合同约定付清本宗地全部出让价款后</w:t>
      </w:r>
      <w:r>
        <w:rPr>
          <w:rFonts w:hint="default" w:ascii="Times New Roman" w:hAnsi="Times New Roman" w:eastAsia="仿宋_GB2312" w:cs="Times New Roman"/>
          <w:sz w:val="32"/>
          <w:szCs w:val="32"/>
          <w:lang w:eastAsia="zh-CN"/>
        </w:rPr>
        <w:t>（涉及利息和违约金的，亦需付清）</w:t>
      </w:r>
      <w:r>
        <w:rPr>
          <w:rFonts w:hint="default" w:ascii="Times New Roman" w:hAnsi="Times New Roman" w:eastAsia="仿宋_GB2312" w:cs="Times New Roman"/>
          <w:sz w:val="32"/>
          <w:szCs w:val="32"/>
        </w:rPr>
        <w:t>，持本合同和出让价款缴纳凭证等相关证明材料，申请出让国有建设用地使用权登记。</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第三章  土地开发建设与利用</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本合同项下宗地用于工业项目建设的，根据自然资源</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部门确定的规划条件，本合同受让宗地范围内用于企业内部行政办公及生活服务设施的占地面积不超过受让宗地面积的</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％，即不超过</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建筑面积不超过</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平方米</w:t>
      </w:r>
      <w:r>
        <w:rPr>
          <w:rFonts w:hint="default" w:ascii="Times New Roman" w:hAnsi="Times New Roman" w:eastAsia="仿宋_GB2312" w:cs="Times New Roman"/>
          <w:sz w:val="32"/>
          <w:szCs w:val="32"/>
          <w:lang w:eastAsia="zh-CN"/>
        </w:rPr>
        <w:t>，且建筑面积不超过工业项目总建筑面积的</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％。受让人</w:t>
      </w:r>
      <w:r>
        <w:rPr>
          <w:rFonts w:hint="default" w:ascii="Times New Roman" w:hAnsi="Times New Roman" w:eastAsia="仿宋_GB2312" w:cs="Times New Roman"/>
          <w:sz w:val="32"/>
          <w:szCs w:val="32"/>
          <w:lang w:eastAsia="zh-CN"/>
        </w:rPr>
        <w:t>不得</w:t>
      </w:r>
      <w:r>
        <w:rPr>
          <w:rFonts w:hint="default" w:ascii="Times New Roman" w:hAnsi="Times New Roman" w:eastAsia="仿宋_GB2312" w:cs="Times New Roman"/>
          <w:sz w:val="32"/>
          <w:szCs w:val="32"/>
        </w:rPr>
        <w:t>在受让宗地范围内建造成套住宅、专家楼、宾馆、招待所和培训中心等非生产性</w:t>
      </w:r>
      <w:r>
        <w:rPr>
          <w:rFonts w:hint="default" w:ascii="Times New Roman" w:hAnsi="Times New Roman" w:eastAsia="仿宋_GB2312" w:cs="Times New Roman"/>
          <w:sz w:val="32"/>
          <w:szCs w:val="32"/>
          <w:lang w:eastAsia="zh-CN"/>
        </w:rPr>
        <w:t>配套</w:t>
      </w:r>
      <w:r>
        <w:rPr>
          <w:rFonts w:hint="default" w:ascii="Times New Roman" w:hAnsi="Times New Roman" w:eastAsia="仿宋_GB2312" w:cs="Times New Roman"/>
          <w:sz w:val="32"/>
          <w:szCs w:val="32"/>
        </w:rPr>
        <w:t>设施。</w:t>
      </w:r>
    </w:p>
    <w:p>
      <w:pPr>
        <w:spacing w:line="60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第十</w:t>
      </w:r>
      <w:r>
        <w:rPr>
          <w:rFonts w:hint="default" w:ascii="Times New Roman" w:hAnsi="Times New Roman" w:eastAsia="仿宋_GB2312" w:cs="Times New Roman"/>
          <w:sz w:val="32"/>
          <w:szCs w:val="32"/>
          <w:highlight w:val="none"/>
        </w:rPr>
        <w:t>五</w:t>
      </w:r>
      <w:r>
        <w:rPr>
          <w:rFonts w:ascii="Times New Roman" w:hAnsi="Times New Roman" w:eastAsia="仿宋_GB2312" w:cs="Times New Roman"/>
          <w:sz w:val="32"/>
          <w:szCs w:val="32"/>
          <w:highlight w:val="none"/>
        </w:rPr>
        <w:t>条  受让人同意本合同项下宗地建设项目在</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日之前开工，在</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ascii="Times New Roman" w:hAnsi="Times New Roman" w:eastAsia="仿宋_GB2312" w:cs="Times New Roman"/>
          <w:sz w:val="32"/>
          <w:szCs w:val="32"/>
          <w:highlight w:val="none"/>
        </w:rPr>
        <w:t>日之前竣工。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受让人不能按期开工，应提前30日向出让人提出延建申请，经出让人同意延建的，其项目竣工时间相应顺延，但延建期限不得超过一年。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default" w:ascii="Times New Roman" w:hAnsi="Times New Roman" w:eastAsia="仿宋_GB2312" w:cs="Times New Roman"/>
          <w:sz w:val="32"/>
          <w:szCs w:val="32"/>
        </w:rPr>
        <w:t>六</w:t>
      </w:r>
      <w:r>
        <w:rPr>
          <w:rFonts w:ascii="Times New Roman" w:hAnsi="Times New Roman" w:eastAsia="仿宋_GB2312" w:cs="Times New Roman"/>
          <w:sz w:val="32"/>
          <w:szCs w:val="32"/>
        </w:rPr>
        <w:t>条  受让人在本合同项下宗地内进行建设时，有关用水、用气、污水及其他设施与宗地外主管线、用电变电站接口和引入工程，应按有关规定办理。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受让人同意政府为公用事业需要而敷设的各种管道与管线</w:t>
      </w:r>
      <w:r>
        <w:rPr>
          <w:rFonts w:hint="default" w:ascii="Times New Roman" w:hAnsi="Times New Roman" w:eastAsia="仿宋_GB2312" w:cs="Times New Roman"/>
          <w:sz w:val="32"/>
          <w:szCs w:val="32"/>
          <w:lang w:eastAsia="zh-CN"/>
        </w:rPr>
        <w:t>、轨道交通工程</w:t>
      </w:r>
      <w:r>
        <w:rPr>
          <w:rFonts w:ascii="Times New Roman" w:hAnsi="Times New Roman" w:eastAsia="仿宋_GB2312" w:cs="Times New Roman"/>
          <w:sz w:val="32"/>
          <w:szCs w:val="32"/>
        </w:rPr>
        <w:t>进出、通过、穿越受让宗地，</w:t>
      </w:r>
      <w:r>
        <w:rPr>
          <w:rFonts w:hint="default" w:ascii="Times New Roman" w:hAnsi="Times New Roman" w:eastAsia="仿宋_GB2312" w:cs="Times New Roman"/>
          <w:sz w:val="32"/>
          <w:szCs w:val="32"/>
        </w:rPr>
        <w:t>因影响宗地使用功能，政府或公用事业营建主体支付合理补偿的，该补偿归受让人所有</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sz w:val="32"/>
          <w:szCs w:val="32"/>
          <w:lang w:eastAsia="zh-CN"/>
        </w:rPr>
        <w:t>经原批准出让方案的人民政府批准后，</w:t>
      </w:r>
      <w:r>
        <w:rPr>
          <w:rFonts w:hint="default" w:ascii="Times New Roman" w:hAnsi="Times New Roman" w:eastAsia="仿宋_GB2312" w:cs="Times New Roman"/>
          <w:sz w:val="32"/>
          <w:szCs w:val="32"/>
        </w:rPr>
        <w:t>双方同意按照本条第</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项规定办理：</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（一）由出让人有偿收回</w:t>
      </w:r>
      <w:r>
        <w:rPr>
          <w:rFonts w:hint="eastAsia" w:ascii="Times New Roman" w:hAnsi="Times New Roman" w:eastAsia="仿宋_GB2312" w:cs="Times New Roman"/>
          <w:sz w:val="32"/>
          <w:szCs w:val="32"/>
          <w:lang w:eastAsia="zh-CN"/>
        </w:rPr>
        <w:t>国有</w:t>
      </w:r>
      <w:r>
        <w:rPr>
          <w:rFonts w:hint="default" w:ascii="Times New Roman" w:hAnsi="Times New Roman" w:eastAsia="仿宋_GB2312" w:cs="Times New Roman"/>
          <w:sz w:val="32"/>
          <w:szCs w:val="32"/>
        </w:rPr>
        <w:t>建设用地使用权</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sz w:val="32"/>
          <w:szCs w:val="32"/>
          <w:lang w:val="en-US" w:eastAsia="zh-CN"/>
        </w:rPr>
        <w:t>按</w:t>
      </w:r>
      <w:r>
        <w:rPr>
          <w:rFonts w:hint="eastAsia" w:ascii="Times New Roman" w:hAnsi="Times New Roman" w:eastAsia="仿宋_GB2312" w:cs="Times New Roman"/>
          <w:b w:val="0"/>
          <w:bCs w:val="0"/>
          <w:sz w:val="32"/>
          <w:szCs w:val="32"/>
          <w:lang w:val="en-US" w:eastAsia="zh-CN"/>
        </w:rPr>
        <w:t>照</w:t>
      </w:r>
      <w:r>
        <w:rPr>
          <w:rFonts w:hint="default" w:ascii="Times New Roman" w:hAnsi="Times New Roman" w:eastAsia="仿宋_GB2312" w:cs="Times New Roman"/>
          <w:b w:val="0"/>
          <w:bCs w:val="0"/>
          <w:sz w:val="32"/>
          <w:szCs w:val="32"/>
          <w:lang w:val="en-US" w:eastAsia="zh-CN"/>
        </w:rPr>
        <w:t>批准改变时新土地用途、规划条件下</w:t>
      </w:r>
      <w:r>
        <w:rPr>
          <w:rFonts w:hint="eastAsia" w:ascii="Times New Roman" w:hAnsi="Times New Roman" w:eastAsia="仿宋_GB2312" w:cs="Times New Roman"/>
          <w:b w:val="0"/>
          <w:bCs w:val="0"/>
          <w:sz w:val="32"/>
          <w:szCs w:val="32"/>
          <w:lang w:val="en-US" w:eastAsia="zh-CN"/>
        </w:rPr>
        <w:t>国有</w:t>
      </w:r>
      <w:r>
        <w:rPr>
          <w:rFonts w:hint="default" w:ascii="Times New Roman" w:hAnsi="Times New Roman" w:eastAsia="仿宋_GB2312" w:cs="Times New Roman"/>
          <w:b w:val="0"/>
          <w:bCs w:val="0"/>
          <w:sz w:val="32"/>
          <w:szCs w:val="32"/>
          <w:lang w:val="en-US" w:eastAsia="zh-CN"/>
        </w:rPr>
        <w:t>建设用地使用权评估市场价格与原土地用途、规划条件下</w:t>
      </w:r>
      <w:r>
        <w:rPr>
          <w:rFonts w:hint="eastAsia" w:ascii="Times New Roman" w:hAnsi="Times New Roman" w:eastAsia="仿宋_GB2312" w:cs="Times New Roman"/>
          <w:b w:val="0"/>
          <w:bCs w:val="0"/>
          <w:sz w:val="32"/>
          <w:szCs w:val="32"/>
          <w:lang w:val="en-US" w:eastAsia="zh-CN"/>
        </w:rPr>
        <w:t>国有</w:t>
      </w:r>
      <w:r>
        <w:rPr>
          <w:rFonts w:hint="default" w:ascii="Times New Roman" w:hAnsi="Times New Roman" w:eastAsia="仿宋_GB2312" w:cs="Times New Roman"/>
          <w:b w:val="0"/>
          <w:bCs w:val="0"/>
          <w:sz w:val="32"/>
          <w:szCs w:val="32"/>
          <w:lang w:val="en-US" w:eastAsia="zh-CN"/>
        </w:rPr>
        <w:t>建设用地使用权评估市场价格</w:t>
      </w:r>
      <w:r>
        <w:rPr>
          <w:rFonts w:hint="eastAsia" w:ascii="Times New Roman" w:hAnsi="Times New Roman" w:eastAsia="仿宋_GB2312" w:cs="Times New Roman"/>
          <w:b w:val="0"/>
          <w:bCs w:val="0"/>
          <w:sz w:val="32"/>
          <w:szCs w:val="32"/>
          <w:lang w:val="en-US" w:eastAsia="zh-CN"/>
        </w:rPr>
        <w:t>相应调整</w:t>
      </w:r>
      <w:r>
        <w:rPr>
          <w:rFonts w:hint="default" w:ascii="Times New Roman" w:hAnsi="Times New Roman" w:eastAsia="仿宋_GB2312" w:cs="Times New Roman"/>
          <w:b w:val="0"/>
          <w:bCs w:val="0"/>
          <w:sz w:val="32"/>
          <w:szCs w:val="32"/>
          <w:lang w:val="en-US" w:eastAsia="zh-CN"/>
        </w:rPr>
        <w:t>国有建设用地使用权出让价款，</w:t>
      </w:r>
      <w:r>
        <w:rPr>
          <w:rFonts w:hint="default" w:ascii="Times New Roman" w:hAnsi="Times New Roman" w:eastAsia="仿宋_GB2312" w:cs="Times New Roman"/>
          <w:sz w:val="32"/>
          <w:szCs w:val="32"/>
          <w:lang w:val="en-US" w:eastAsia="zh-CN"/>
        </w:rPr>
        <w:t>办理不动产变更登记。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本合同项下宗地在使用期限内，政府保留对</w:t>
      </w: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按届时有效的规划执行。</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对受让人依法使用的国有建设用地使用权，在本合同约定的使用权期限届满前，出让人不得收回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sz w:val="32"/>
          <w:szCs w:val="32"/>
          <w:lang w:eastAsia="zh-CN"/>
        </w:rPr>
        <w:t>限</w:t>
      </w:r>
      <w:r>
        <w:rPr>
          <w:rFonts w:hint="default" w:ascii="Times New Roman" w:hAnsi="Times New Roman" w:eastAsia="仿宋_GB2312" w:cs="Times New Roman"/>
          <w:sz w:val="32"/>
          <w:szCs w:val="32"/>
        </w:rPr>
        <w:t>国有建设用地使用权的评估市场价格及经评估认定的直接损失给予土地使用者补偿。</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第四章 国有建设用地使用权转让、出租、抵押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bookmarkStart w:id="0" w:name="_Hlk112108682"/>
      <w:r>
        <w:rPr>
          <w:rFonts w:ascii="Times New Roman" w:hAnsi="Times New Roman" w:eastAsia="仿宋_GB2312" w:cs="Times New Roman"/>
          <w:sz w:val="32"/>
          <w:szCs w:val="32"/>
        </w:rPr>
        <w:t>受让人按照本合同约定支付全部国有建设用地使用权出让价款，</w:t>
      </w:r>
      <w:r>
        <w:rPr>
          <w:rFonts w:hint="default" w:ascii="Times New Roman" w:hAnsi="Times New Roman" w:eastAsia="仿宋_GB2312" w:cs="Times New Roman"/>
          <w:b w:val="0"/>
          <w:bCs w:val="0"/>
          <w:color w:val="auto"/>
          <w:sz w:val="32"/>
          <w:szCs w:val="32"/>
          <w:lang w:val="en-US" w:eastAsia="zh-CN"/>
        </w:rPr>
        <w:t>办理不动产登记后</w:t>
      </w:r>
      <w:r>
        <w:rPr>
          <w:rFonts w:ascii="Times New Roman" w:hAnsi="Times New Roman" w:eastAsia="仿宋_GB2312" w:cs="Times New Roman"/>
          <w:sz w:val="32"/>
          <w:szCs w:val="32"/>
        </w:rPr>
        <w:t>，有权将本合同项下的全部或部分国有建设用地使用权转让、出租、抵押。</w:t>
      </w:r>
      <w:bookmarkEnd w:id="0"/>
      <w:r>
        <w:rPr>
          <w:rFonts w:hint="default" w:ascii="Times New Roman" w:hAnsi="Times New Roman" w:eastAsia="仿宋_GB2312" w:cs="Times New Roman"/>
          <w:sz w:val="32"/>
          <w:szCs w:val="32"/>
        </w:rPr>
        <w:t>首次转让的，应当符合以下第</w:t>
      </w:r>
      <w:r>
        <w:rPr>
          <w:rFonts w:hint="eastAsia" w:ascii="Times New Roman" w:hAnsi="Times New Roman" w:eastAsia="仿宋_GB2312" w:cs="Times New Roman"/>
          <w:sz w:val="32"/>
          <w:szCs w:val="32"/>
          <w:u w:val="single"/>
          <w:lang w:val="en-US" w:eastAsia="zh-CN"/>
        </w:rPr>
        <w:t>(一)</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第一项或第二项至少选其一，可多选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规定的条件: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（一）按照本合同约定进行投资开发，完成开发投资总额的百分之二十五以上；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（二）按照本合同约定进行投资开发，已形成工业用地或其他建设用地条件；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一</w:t>
      </w:r>
      <w:r>
        <w:rPr>
          <w:rFonts w:ascii="Times New Roman" w:hAnsi="Times New Roman" w:eastAsia="仿宋_GB2312" w:cs="Times New Roman"/>
          <w:sz w:val="32"/>
          <w:szCs w:val="32"/>
        </w:rPr>
        <w:t>条  国有建设用地使用权的转让、出租及抵押合同，不得违背国家法律、法规规定和本合同约定。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二</w:t>
      </w:r>
      <w:r>
        <w:rPr>
          <w:rFonts w:ascii="Times New Roman" w:hAnsi="Times New Roman" w:eastAsia="仿宋_GB2312" w:cs="Times New Roman"/>
          <w:sz w:val="32"/>
          <w:szCs w:val="32"/>
        </w:rPr>
        <w:t>条  国有建设用地使用权全部或部分转让后，</w:t>
      </w:r>
      <w:r>
        <w:rPr>
          <w:rFonts w:hint="default" w:ascii="Times New Roman" w:hAnsi="Times New Roman" w:eastAsia="仿宋_GB2312" w:cs="Times New Roman"/>
          <w:color w:val="auto"/>
          <w:sz w:val="32"/>
          <w:szCs w:val="32"/>
        </w:rPr>
        <w:t>本合同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不动产登记簿</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b w:val="0"/>
          <w:bCs w:val="0"/>
          <w:color w:val="auto"/>
          <w:sz w:val="32"/>
          <w:szCs w:val="32"/>
          <w:lang w:eastAsia="zh-CN"/>
        </w:rPr>
        <w:t>不动产权证书</w:t>
      </w:r>
      <w:r>
        <w:rPr>
          <w:rFonts w:ascii="Times New Roman" w:hAnsi="Times New Roman" w:eastAsia="仿宋_GB2312" w:cs="Times New Roman"/>
          <w:sz w:val="32"/>
          <w:szCs w:val="32"/>
        </w:rPr>
        <w:t>中载明的权利、义务随之转移，国有建设用地使用权的使用年限为本合同约定的使用年限减去已经使用年限后的剩余年限。</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本合同项下的全部或部分国有建设用地使用权出租后，</w:t>
      </w:r>
      <w:r>
        <w:rPr>
          <w:rFonts w:hint="default" w:ascii="Times New Roman" w:hAnsi="Times New Roman" w:eastAsia="仿宋_GB2312" w:cs="Times New Roman"/>
          <w:sz w:val="32"/>
          <w:szCs w:val="32"/>
        </w:rPr>
        <w:t>本合同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b w:val="0"/>
          <w:bCs w:val="0"/>
          <w:sz w:val="32"/>
          <w:szCs w:val="32"/>
          <w:lang w:eastAsia="zh-CN"/>
        </w:rPr>
        <w:t>不动产权证书</w:t>
      </w:r>
      <w:r>
        <w:rPr>
          <w:rFonts w:ascii="Times New Roman" w:hAnsi="Times New Roman" w:eastAsia="仿宋_GB2312" w:cs="Times New Roman"/>
          <w:sz w:val="32"/>
          <w:szCs w:val="32"/>
        </w:rPr>
        <w:t>中载明的权利、义务仍由受让人承担。</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default" w:ascii="Times New Roman" w:hAnsi="Times New Roman" w:eastAsia="仿宋_GB2312" w:cs="Times New Roman"/>
          <w:sz w:val="32"/>
          <w:szCs w:val="32"/>
        </w:rPr>
        <w:t>三</w:t>
      </w:r>
      <w:r>
        <w:rPr>
          <w:rFonts w:ascii="Times New Roman" w:hAnsi="Times New Roman" w:eastAsia="仿宋_GB2312" w:cs="Times New Roman"/>
          <w:sz w:val="32"/>
          <w:szCs w:val="32"/>
        </w:rPr>
        <w:t>条  国有建设用地使用权转让、抵押的，转让、抵押双方应持本合同和相应的转让、抵押合同及</w:t>
      </w:r>
      <w:r>
        <w:rPr>
          <w:rFonts w:hint="default" w:ascii="Times New Roman" w:hAnsi="Times New Roman" w:eastAsia="仿宋_GB2312" w:cs="Times New Roman"/>
          <w:sz w:val="32"/>
          <w:szCs w:val="32"/>
        </w:rPr>
        <w:t>不动产权证书</w:t>
      </w:r>
      <w:r>
        <w:rPr>
          <w:rFonts w:ascii="Times New Roman" w:hAnsi="Times New Roman" w:eastAsia="仿宋_GB2312" w:cs="Times New Roman"/>
          <w:sz w:val="32"/>
          <w:szCs w:val="32"/>
        </w:rPr>
        <w:t>，到自然资源</w:t>
      </w:r>
      <w:r>
        <w:rPr>
          <w:rFonts w:hint="default" w:ascii="Times New Roman" w:hAnsi="Times New Roman" w:eastAsia="仿宋_GB2312" w:cs="Times New Roman"/>
          <w:sz w:val="32"/>
          <w:szCs w:val="32"/>
          <w:lang w:eastAsia="zh-CN"/>
        </w:rPr>
        <w:t>主管</w:t>
      </w:r>
      <w:r>
        <w:rPr>
          <w:rFonts w:ascii="Times New Roman" w:hAnsi="Times New Roman" w:eastAsia="仿宋_GB2312" w:cs="Times New Roman"/>
          <w:sz w:val="32"/>
          <w:szCs w:val="32"/>
        </w:rPr>
        <w:t>部门申请办理</w:t>
      </w:r>
      <w:r>
        <w:rPr>
          <w:rFonts w:hint="default" w:ascii="Times New Roman" w:hAnsi="Times New Roman" w:eastAsia="仿宋_GB2312" w:cs="Times New Roman"/>
          <w:sz w:val="32"/>
          <w:szCs w:val="32"/>
        </w:rPr>
        <w:t>相应的不动产登记</w:t>
      </w:r>
      <w:r>
        <w:rPr>
          <w:rFonts w:ascii="Times New Roman" w:hAnsi="Times New Roman" w:eastAsia="仿宋_GB2312" w:cs="Times New Roman"/>
          <w:sz w:val="32"/>
          <w:szCs w:val="32"/>
        </w:rPr>
        <w:t>。</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第五章 期限届满</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第二十四条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sz w:val="32"/>
          <w:szCs w:val="32"/>
          <w:lang w:eastAsia="zh-CN"/>
        </w:rPr>
        <w:t>依法在规定时间内提出续期申请</w:t>
      </w:r>
      <w:r>
        <w:rPr>
          <w:rFonts w:hint="default" w:ascii="Times New Roman" w:hAnsi="Times New Roman" w:eastAsia="仿宋_GB2312" w:cs="Times New Roman"/>
          <w:sz w:val="32"/>
          <w:szCs w:val="32"/>
        </w:rPr>
        <w:t>。</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住宅建设用地使用权期限届满的，自动续期。续期费用的缴纳或者减免，依照法律、行政法规的规定办理。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非住宅建设用地使用权期限届满后的续期，依照法律规定办理。出让人同意续期的，土地使用者应当依法办理</w:t>
      </w:r>
      <w:r>
        <w:rPr>
          <w:rFonts w:hint="eastAsia" w:ascii="Times New Roman" w:hAnsi="Times New Roman" w:eastAsia="仿宋_GB2312" w:cs="Times New Roman"/>
          <w:sz w:val="32"/>
          <w:szCs w:val="32"/>
          <w:lang w:eastAsia="zh-CN"/>
        </w:rPr>
        <w:t>续期</w:t>
      </w:r>
      <w:r>
        <w:rPr>
          <w:rFonts w:hint="default" w:ascii="Times New Roman" w:hAnsi="Times New Roman" w:eastAsia="仿宋_GB2312" w:cs="Times New Roman"/>
          <w:sz w:val="32"/>
          <w:szCs w:val="32"/>
        </w:rPr>
        <w:t>手续，重新签订土地有偿使用合同，</w:t>
      </w:r>
      <w:r>
        <w:rPr>
          <w:rFonts w:hint="eastAsia" w:ascii="Times New Roman" w:hAnsi="Times New Roman" w:eastAsia="仿宋_GB2312" w:cs="Times New Roman"/>
          <w:sz w:val="32"/>
          <w:szCs w:val="32"/>
          <w:lang w:eastAsia="zh-CN"/>
        </w:rPr>
        <w:t>缴纳续期费用</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第二十五条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土地出让期限届满，土地使用者申请续期，因社会公共利益需要未获批准的，土地使用者应当依照规定</w:t>
      </w:r>
      <w:r>
        <w:rPr>
          <w:rFonts w:hint="default" w:ascii="Times New Roman" w:hAnsi="Times New Roman" w:eastAsia="仿宋_GB2312" w:cs="Times New Roman"/>
          <w:b w:val="0"/>
          <w:bCs w:val="0"/>
          <w:sz w:val="32"/>
          <w:szCs w:val="32"/>
          <w:lang w:eastAsia="zh-CN"/>
        </w:rPr>
        <w:t>申请办理</w:t>
      </w:r>
      <w:r>
        <w:rPr>
          <w:rFonts w:hint="default" w:ascii="Times New Roman" w:hAnsi="Times New Roman" w:eastAsia="仿宋_GB2312" w:cs="Times New Roman"/>
          <w:b w:val="0"/>
          <w:bCs w:val="0"/>
          <w:sz w:val="32"/>
          <w:szCs w:val="32"/>
        </w:rPr>
        <w:t>国有建设用地使用权注销登记</w:t>
      </w:r>
      <w:r>
        <w:rPr>
          <w:rFonts w:hint="default" w:ascii="Times New Roman" w:hAnsi="Times New Roman" w:eastAsia="仿宋_GB2312" w:cs="Times New Roman"/>
          <w:b w:val="0"/>
          <w:bCs w:val="0"/>
          <w:sz w:val="32"/>
          <w:szCs w:val="32"/>
          <w:lang w:eastAsia="zh-CN"/>
        </w:rPr>
        <w:t>，并交回不动产权证书</w:t>
      </w:r>
      <w:r>
        <w:rPr>
          <w:rFonts w:hint="default" w:ascii="Times New Roman" w:hAnsi="Times New Roman" w:eastAsia="仿宋_GB2312" w:cs="Times New Roman"/>
          <w:sz w:val="32"/>
          <w:szCs w:val="32"/>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sz w:val="32"/>
          <w:szCs w:val="32"/>
          <w:u w:val="single"/>
          <w:lang w:val="en-US" w:eastAsia="zh-CN"/>
        </w:rPr>
        <w:t>(一)</w:t>
      </w:r>
      <w:r>
        <w:rPr>
          <w:rFonts w:hint="default" w:ascii="Times New Roman" w:hAnsi="Times New Roman" w:eastAsia="仿宋_GB2312" w:cs="Times New Roman"/>
          <w:sz w:val="32"/>
          <w:szCs w:val="32"/>
        </w:rPr>
        <w:t>项约定履行：</w:t>
      </w:r>
    </w:p>
    <w:p>
      <w:pPr>
        <w:numPr>
          <w:ilvl w:val="0"/>
          <w:numId w:val="2"/>
        </w:num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由出让人收回地上建筑物、构筑物及其附属设施，并根据收回时地上建筑物、构筑物及其附属设施的残余价值，给予土地使用者相应补偿;</w:t>
      </w:r>
    </w:p>
    <w:p>
      <w:pPr>
        <w:numPr>
          <w:ilvl w:val="0"/>
          <w:numId w:val="2"/>
        </w:num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由出让人无偿收回地上建筑物、构筑物及其附属设施。</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土地出让期限届满，土地使用者没有申请续期的，土地使用者应当依照规定</w:t>
      </w:r>
      <w:r>
        <w:rPr>
          <w:rFonts w:hint="default" w:ascii="Times New Roman" w:hAnsi="Times New Roman" w:eastAsia="仿宋_GB2312" w:cs="Times New Roman"/>
          <w:b w:val="0"/>
          <w:bCs w:val="0"/>
          <w:sz w:val="32"/>
          <w:szCs w:val="32"/>
          <w:lang w:eastAsia="zh-CN"/>
        </w:rPr>
        <w:t>申请办理</w:t>
      </w:r>
      <w:r>
        <w:rPr>
          <w:rFonts w:hint="default" w:ascii="Times New Roman" w:hAnsi="Times New Roman" w:eastAsia="仿宋_GB2312" w:cs="Times New Roman"/>
          <w:b w:val="0"/>
          <w:bCs w:val="0"/>
          <w:sz w:val="32"/>
          <w:szCs w:val="32"/>
        </w:rPr>
        <w:t>国有建设用地使用权注销登记</w:t>
      </w:r>
      <w:r>
        <w:rPr>
          <w:rFonts w:hint="default" w:ascii="Times New Roman" w:hAnsi="Times New Roman" w:eastAsia="仿宋_GB2312" w:cs="Times New Roman"/>
          <w:b w:val="0"/>
          <w:bCs w:val="0"/>
          <w:sz w:val="32"/>
          <w:szCs w:val="32"/>
          <w:lang w:eastAsia="zh-CN"/>
        </w:rPr>
        <w:t>，并交回不动产权证书</w:t>
      </w:r>
      <w:r>
        <w:rPr>
          <w:rFonts w:hint="default" w:ascii="Times New Roman" w:hAnsi="Times New Roman" w:eastAsia="仿宋_GB2312" w:cs="Times New Roman"/>
          <w:sz w:val="32"/>
          <w:szCs w:val="32"/>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第六章  不可抗力</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第二十七条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第七章  违约责任</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第二十九条  </w:t>
      </w:r>
      <w:r>
        <w:rPr>
          <w:rFonts w:ascii="Times New Roman" w:hAnsi="Times New Roman" w:eastAsia="仿宋_GB2312" w:cs="Times New Roman"/>
          <w:sz w:val="32"/>
          <w:szCs w:val="32"/>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sz w:val="32"/>
          <w:szCs w:val="32"/>
          <w:lang w:eastAsia="zh-CN"/>
        </w:rPr>
        <w:t>迟延支付</w:t>
      </w:r>
      <w:r>
        <w:rPr>
          <w:rFonts w:ascii="Times New Roman" w:hAnsi="Times New Roman" w:eastAsia="仿宋_GB2312" w:cs="Times New Roman"/>
          <w:sz w:val="32"/>
          <w:szCs w:val="32"/>
        </w:rPr>
        <w:t>之日起，每日按迟延支付款项的</w:t>
      </w:r>
      <w:r>
        <w:rPr>
          <w:rFonts w:hint="eastAsia" w:ascii="Times New Roman" w:hAnsi="Times New Roman" w:eastAsia="仿宋_GB2312" w:cs="Times New Roman"/>
          <w:sz w:val="32"/>
          <w:szCs w:val="32"/>
          <w:u w:val="single"/>
          <w:lang w:val="en-US" w:eastAsia="zh-CN"/>
        </w:rPr>
        <w:t>1.0</w:t>
      </w:r>
      <w:r>
        <w:rPr>
          <w:rFonts w:ascii="Times New Roman" w:hAnsi="Times New Roman" w:eastAsia="仿宋_GB2312" w:cs="Times New Roman"/>
          <w:sz w:val="32"/>
          <w:szCs w:val="32"/>
        </w:rPr>
        <w:t>‰向出让人缴纳违约金，延期付款超过60日，经出让人催</w:t>
      </w:r>
      <w:r>
        <w:rPr>
          <w:rFonts w:hint="eastAsia" w:ascii="Times New Roman" w:hAnsi="Times New Roman" w:eastAsia="仿宋_GB2312" w:cs="Times New Roman"/>
          <w:sz w:val="32"/>
          <w:szCs w:val="32"/>
          <w:lang w:eastAsia="zh-CN"/>
        </w:rPr>
        <w:t>缴</w:t>
      </w:r>
      <w:r>
        <w:rPr>
          <w:rFonts w:ascii="Times New Roman" w:hAnsi="Times New Roman" w:eastAsia="仿宋_GB2312" w:cs="Times New Roman"/>
          <w:sz w:val="32"/>
          <w:szCs w:val="32"/>
        </w:rPr>
        <w:t>后仍不能支付国有建设用地使用权出让价款的，出让人有权解除合同，受让人无权要求返还定金，</w:t>
      </w:r>
      <w:r>
        <w:rPr>
          <w:rFonts w:hint="default" w:ascii="Times New Roman" w:hAnsi="Times New Roman" w:eastAsia="仿宋_GB2312" w:cs="Times New Roman"/>
          <w:sz w:val="32"/>
          <w:szCs w:val="32"/>
          <w:lang w:eastAsia="zh-CN"/>
        </w:rPr>
        <w:t>定金数额不足以弥补因受让人违约造成的损失的，</w:t>
      </w:r>
      <w:r>
        <w:rPr>
          <w:rFonts w:ascii="Times New Roman" w:hAnsi="Times New Roman" w:eastAsia="仿宋_GB2312" w:cs="Times New Roman"/>
          <w:sz w:val="32"/>
          <w:szCs w:val="32"/>
        </w:rPr>
        <w:t>出让人</w:t>
      </w:r>
      <w:r>
        <w:rPr>
          <w:rFonts w:hint="default" w:ascii="Times New Roman" w:hAnsi="Times New Roman" w:eastAsia="仿宋_GB2312" w:cs="Times New Roman"/>
          <w:sz w:val="32"/>
          <w:szCs w:val="32"/>
          <w:lang w:eastAsia="zh-CN"/>
        </w:rPr>
        <w:t>可以</w:t>
      </w:r>
      <w:r>
        <w:rPr>
          <w:rFonts w:ascii="Times New Roman" w:hAnsi="Times New Roman" w:eastAsia="仿宋_GB2312" w:cs="Times New Roman"/>
          <w:sz w:val="32"/>
          <w:szCs w:val="32"/>
        </w:rPr>
        <w:t>请求受让人赔偿</w:t>
      </w:r>
      <w:r>
        <w:rPr>
          <w:rFonts w:hint="default" w:ascii="Times New Roman" w:hAnsi="Times New Roman" w:eastAsia="仿宋_GB2312" w:cs="Times New Roman"/>
          <w:sz w:val="32"/>
          <w:szCs w:val="32"/>
          <w:lang w:eastAsia="zh-CN"/>
        </w:rPr>
        <w:t>超过定金数额的损失</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default" w:ascii="Times New Roman" w:hAnsi="Times New Roman" w:eastAsia="仿宋_GB2312" w:cs="Times New Roman"/>
          <w:sz w:val="32"/>
          <w:szCs w:val="32"/>
        </w:rPr>
        <w:t>三十</w:t>
      </w:r>
      <w:r>
        <w:rPr>
          <w:rFonts w:ascii="Times New Roman" w:hAnsi="Times New Roman" w:eastAsia="仿宋_GB2312" w:cs="Times New Roman"/>
          <w:sz w:val="32"/>
          <w:szCs w:val="32"/>
        </w:rPr>
        <w:t>条</w:t>
      </w:r>
      <w:r>
        <w:rPr>
          <w:rFonts w:hint="default" w:ascii="Times New Roman" w:hAnsi="Times New Roman" w:eastAsia="仿宋_GB2312" w:cs="Times New Roman"/>
          <w:b/>
          <w:bCs/>
          <w:sz w:val="32"/>
          <w:szCs w:val="32"/>
        </w:rPr>
        <w:t xml:space="preserve"> </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（一）受让人在本合同约定的开工建设日期届满一年前不少于60日向出让人提出申请的，出让人在扣除定金后退还受让人已支付的国有建设用地使用权出让价款；</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受让人应当按照本合同约定动工开发。</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受让人未按照本合同约定动工开发，</w:t>
      </w:r>
      <w:r>
        <w:rPr>
          <w:rFonts w:hint="default" w:ascii="Times New Roman" w:hAnsi="Times New Roman" w:eastAsia="仿宋_GB2312" w:cs="Times New Roman"/>
          <w:sz w:val="32"/>
          <w:szCs w:val="32"/>
        </w:rPr>
        <w:t>涉嫌闲置土地的，应履行配合调查义务；造成闲置土地的，应依法</w:t>
      </w:r>
      <w:r>
        <w:rPr>
          <w:rFonts w:hint="default" w:ascii="Times New Roman" w:hAnsi="Times New Roman" w:eastAsia="仿宋_GB2312" w:cs="Times New Roman"/>
          <w:sz w:val="32"/>
          <w:szCs w:val="32"/>
          <w:lang w:eastAsia="zh-CN"/>
        </w:rPr>
        <w:t>依规</w:t>
      </w:r>
      <w:r>
        <w:rPr>
          <w:rFonts w:hint="default" w:ascii="Times New Roman" w:hAnsi="Times New Roman" w:eastAsia="仿宋_GB2312" w:cs="Times New Roman"/>
          <w:sz w:val="32"/>
          <w:szCs w:val="32"/>
        </w:rPr>
        <w:t>予以处置。</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‰的违约金，出让人有权要求受让人继续履约。</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‰的违约金。</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第三十三条 </w:t>
      </w:r>
      <w:bookmarkStart w:id="1" w:name="_Hlk132188028"/>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受让人按本合同约定支付国有建设用地使用权出让价款的，出让人必须按照本合同约定按时交付出让土地。由于</w:t>
      </w:r>
      <w:r>
        <w:rPr>
          <w:rFonts w:hint="default" w:ascii="Times New Roman" w:hAnsi="Times New Roman" w:eastAsia="仿宋_GB2312" w:cs="Times New Roman"/>
          <w:sz w:val="32"/>
          <w:szCs w:val="32"/>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sz w:val="32"/>
          <w:szCs w:val="32"/>
          <w:u w:val="single"/>
          <w:lang w:val="en-US" w:eastAsia="zh-CN"/>
        </w:rPr>
        <w:t>1.0</w:t>
      </w:r>
      <w:r>
        <w:rPr>
          <w:rFonts w:hint="default" w:ascii="Times New Roman" w:hAnsi="Times New Roman" w:eastAsia="仿宋_GB2312" w:cs="Times New Roman"/>
          <w:sz w:val="32"/>
          <w:szCs w:val="32"/>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sz w:val="32"/>
          <w:szCs w:val="32"/>
          <w:lang w:eastAsia="zh-CN"/>
        </w:rPr>
        <w:t>定金数额不足以弥补因出让人违约造成的损失的，受让人可以请求出让人赔偿超过定金数额的损失</w:t>
      </w:r>
      <w:r>
        <w:rPr>
          <w:rFonts w:hint="default" w:ascii="Times New Roman" w:hAnsi="Times New Roman" w:eastAsia="仿宋_GB2312" w:cs="Times New Roman"/>
          <w:sz w:val="32"/>
          <w:szCs w:val="32"/>
        </w:rPr>
        <w:t>。</w:t>
      </w:r>
      <w:bookmarkEnd w:id="1"/>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default" w:ascii="Times New Roman" w:hAnsi="Times New Roman" w:eastAsia="仿宋_GB2312" w:cs="Times New Roman"/>
          <w:sz w:val="32"/>
          <w:szCs w:val="32"/>
        </w:rPr>
        <w:t>四</w:t>
      </w:r>
      <w:r>
        <w:rPr>
          <w:rFonts w:ascii="Times New Roman" w:hAnsi="Times New Roman" w:eastAsia="仿宋_GB2312" w:cs="Times New Roman"/>
          <w:sz w:val="32"/>
          <w:szCs w:val="32"/>
        </w:rPr>
        <w:t>条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sz w:val="32"/>
          <w:szCs w:val="32"/>
          <w:lang w:eastAsia="zh-CN"/>
        </w:rPr>
        <w:t>权</w:t>
      </w:r>
      <w:r>
        <w:rPr>
          <w:rFonts w:ascii="Times New Roman" w:hAnsi="Times New Roman" w:eastAsia="仿宋_GB2312" w:cs="Times New Roman"/>
          <w:sz w:val="32"/>
          <w:szCs w:val="32"/>
        </w:rPr>
        <w:t>期限自达到约定的土地条件之日起算。</w:t>
      </w:r>
    </w:p>
    <w:p>
      <w:pPr>
        <w:spacing w:before="157" w:beforeLines="50" w:after="157" w:afterLines="50" w:line="600" w:lineRule="exact"/>
        <w:ind w:firstLine="640" w:firstLineChars="200"/>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第八章  适用法律及争议解决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本合同订立、效力、解释、履行及争议的解决，适用中华人民共和国法律。</w:t>
      </w:r>
    </w:p>
    <w:p>
      <w:pPr>
        <w:spacing w:line="60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因履行本合同发生争议，争议双方可以通过和解、调解等途径解决，和解、调解不成的，按本条第</w:t>
      </w:r>
      <w:r>
        <w:rPr>
          <w:rFonts w:hint="eastAsia" w:ascii="Times New Roman" w:hAnsi="Times New Roman" w:eastAsia="仿宋_GB2312" w:cs="Times New Roman"/>
          <w:sz w:val="32"/>
          <w:szCs w:val="32"/>
          <w:u w:val="single"/>
          <w:lang w:val="en-US" w:eastAsia="zh-CN"/>
        </w:rPr>
        <w:t>(二)</w:t>
      </w:r>
      <w:r>
        <w:rPr>
          <w:rFonts w:hint="default" w:ascii="Times New Roman" w:hAnsi="Times New Roman" w:eastAsia="仿宋_GB2312" w:cs="Times New Roman"/>
          <w:sz w:val="32"/>
          <w:szCs w:val="32"/>
        </w:rPr>
        <w:t>项约定的方式解决：</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（一）提交</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仲裁委员会仲裁;</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（二）依法向人民法院起诉。</w:t>
      </w:r>
    </w:p>
    <w:p>
      <w:pPr>
        <w:spacing w:before="156" w:beforeLines="50" w:after="156" w:afterLines="50" w:line="600" w:lineRule="exact"/>
        <w:jc w:val="center"/>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第九章  附则</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第三十七条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本合同项下宗地出让方案业经</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人民政府批准，本合同自双方签订之日起生效。</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本合同项下</w:t>
      </w:r>
      <w:r>
        <w:rPr>
          <w:rFonts w:hint="default" w:ascii="Times New Roman" w:hAnsi="Times New Roman" w:eastAsia="仿宋_GB2312" w:cs="Times New Roman"/>
          <w:sz w:val="32"/>
          <w:szCs w:val="32"/>
          <w:lang w:eastAsia="zh-CN"/>
        </w:rPr>
        <w:t>约定向出让人支付的</w:t>
      </w:r>
      <w:r>
        <w:rPr>
          <w:rFonts w:hint="default" w:ascii="Times New Roman" w:hAnsi="Times New Roman" w:eastAsia="仿宋_GB2312" w:cs="Times New Roman"/>
          <w:sz w:val="32"/>
          <w:szCs w:val="32"/>
        </w:rPr>
        <w:t>出让价款</w:t>
      </w:r>
      <w:r>
        <w:rPr>
          <w:rFonts w:hint="default" w:ascii="Times New Roman" w:hAnsi="Times New Roman" w:eastAsia="仿宋_GB2312" w:cs="Times New Roman"/>
          <w:sz w:val="32"/>
          <w:szCs w:val="32"/>
          <w:lang w:eastAsia="zh-CN"/>
        </w:rPr>
        <w:t>及利息</w:t>
      </w:r>
      <w:r>
        <w:rPr>
          <w:rFonts w:hint="default" w:ascii="Times New Roman" w:hAnsi="Times New Roman" w:eastAsia="仿宋_GB2312" w:cs="Times New Roman"/>
          <w:sz w:val="32"/>
          <w:szCs w:val="32"/>
        </w:rPr>
        <w:t>、改变土地用途和规划条件补缴价款等国有土地使用权出让收入</w:t>
      </w:r>
      <w:r>
        <w:rPr>
          <w:rFonts w:hint="eastAsia" w:ascii="Times New Roman" w:hAnsi="Times New Roman" w:eastAsia="仿宋_GB2312" w:cs="Times New Roman"/>
          <w:sz w:val="32"/>
          <w:szCs w:val="32"/>
          <w:lang w:eastAsia="zh-CN"/>
        </w:rPr>
        <w:t>，以及违约金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按照有关征管规定，具体由受让人向税务机关缴纳</w:t>
      </w:r>
      <w:r>
        <w:rPr>
          <w:rFonts w:hint="default"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本合同履行中及合同发生纠纷时相关文件和法律文书送达时的送达地址及法律后果约定如下：</w:t>
      </w: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（一）出让人确认其有效的送达地址为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rPr>
        <w:t>；受让人确认其有效的送达地址为</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（二）一方的信息如有变更，应于变更之日起15日内以书面形式告知对方，否则由此引起的无法及时告知的责任由信息变更方承担。</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第四十条</w:t>
      </w:r>
      <w:r>
        <w:rPr>
          <w:rFonts w:hint="default" w:ascii="Times New Roman" w:hAnsi="Times New Roman" w:eastAsia="仿宋_GB2312" w:cs="Times New Roman"/>
          <w:sz w:val="32"/>
          <w:szCs w:val="32"/>
          <w:lang w:val="en-US" w:eastAsia="zh-CN"/>
        </w:rPr>
        <w:t xml:space="preserve">  本合同和附件共</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default" w:ascii="Times New Roman" w:hAnsi="Times New Roman" w:eastAsia="仿宋_GB2312" w:cs="Times New Roman"/>
          <w:sz w:val="32"/>
          <w:szCs w:val="32"/>
          <w:u w:val="none"/>
          <w:lang w:val="en-US" w:eastAsia="zh-CN"/>
        </w:rPr>
        <w:t>页，以中文书写为准。</w:t>
      </w:r>
      <w:r>
        <w:rPr>
          <w:rFonts w:hint="default" w:ascii="Times New Roman" w:hAnsi="Times New Roman" w:eastAsia="仿宋_GB2312" w:cs="Times New Roman"/>
          <w:sz w:val="32"/>
          <w:szCs w:val="32"/>
        </w:rPr>
        <w:t xml:space="preserve"> </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  本合同的价款、金额、面积等项应当同时以大、小写表示，大小写数额应当一致，不一致的，以大写为准。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  本合同未尽事宜，可由双方约定后作为合同附件，与本合同具有同等法律效力。</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第四十三条  本合同一式</w:t>
      </w:r>
      <w:r>
        <w:rPr>
          <w:rFonts w:hint="eastAsia" w:ascii="Times New Roman" w:hAnsi="Times New Roman" w:eastAsia="仿宋_GB2312" w:cs="Times New Roman"/>
          <w:sz w:val="32"/>
          <w:szCs w:val="32"/>
          <w:u w:val="single"/>
          <w:lang w:val="en-US" w:eastAsia="zh-CN"/>
        </w:rPr>
        <w:t>4</w:t>
      </w:r>
      <w:r>
        <w:rPr>
          <w:rFonts w:hint="default" w:ascii="Times New Roman" w:hAnsi="Times New Roman" w:eastAsia="仿宋_GB2312" w:cs="Times New Roman"/>
          <w:sz w:val="32"/>
          <w:szCs w:val="32"/>
        </w:rPr>
        <w:t>份，出让人、受让人各执</w:t>
      </w:r>
      <w:r>
        <w:rPr>
          <w:rFonts w:hint="eastAsia" w:ascii="Times New Roman" w:hAnsi="Times New Roman" w:eastAsia="仿宋_GB2312" w:cs="Times New Roman"/>
          <w:sz w:val="32"/>
          <w:szCs w:val="32"/>
          <w:u w:val="single"/>
          <w:lang w:val="en-US" w:eastAsia="zh-CN"/>
        </w:rPr>
        <w:t>2</w:t>
      </w:r>
      <w:r>
        <w:rPr>
          <w:rFonts w:hint="default" w:ascii="Times New Roman" w:hAnsi="Times New Roman" w:eastAsia="仿宋_GB2312" w:cs="Times New Roman"/>
          <w:sz w:val="32"/>
          <w:szCs w:val="32"/>
        </w:rPr>
        <w:t>份，具有同等法律效力。</w:t>
      </w:r>
    </w:p>
    <w:p>
      <w:pPr>
        <w:spacing w:line="600" w:lineRule="exact"/>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补充条款</w:t>
      </w:r>
    </w:p>
    <w:p>
      <w:pPr>
        <w:pStyle w:val="2"/>
        <w:ind w:left="420" w:leftChars="0" w:firstLine="420" w:firstLineChars="0"/>
        <w:rPr>
          <w:rFonts w:hint="default"/>
          <w:u w:val="none"/>
          <w:lang w:val="en-US" w:eastAsia="zh-CN"/>
        </w:rPr>
      </w:pPr>
      <w:r>
        <w:rPr>
          <w:rFonts w:hint="eastAsia" w:ascii="Times New Roman" w:hAnsi="Times New Roman" w:eastAsia="仿宋_GB2312" w:cs="Times New Roman"/>
          <w:sz w:val="32"/>
          <w:szCs w:val="32"/>
          <w:u w:val="none"/>
          <w:lang w:val="en-US" w:eastAsia="zh-CN"/>
        </w:rPr>
        <w:t>无</w:t>
      </w:r>
    </w:p>
    <w:p>
      <w:pPr>
        <w:pStyle w:val="2"/>
        <w:rPr>
          <w:rFonts w:hint="default"/>
        </w:rPr>
      </w:pP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出让人（章）：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受让人（章）：</w:t>
      </w:r>
    </w:p>
    <w:p>
      <w:pPr>
        <w:spacing w:line="60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法定代表人（委托代理人）：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法定代表人（委托代理人）：</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                   （签字）：</w:t>
      </w:r>
    </w:p>
    <w:p>
      <w:pPr>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spacing w:line="600" w:lineRule="exact"/>
        <w:jc w:val="righ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年</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月</w:t>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ab/>
      </w:r>
      <w:r>
        <w:rPr>
          <w:rFonts w:hint="eastAsia" w:ascii="Times New Roman" w:hAnsi="Times New Roman" w:eastAsia="仿宋_GB2312" w:cs="Times New Roman"/>
          <w:sz w:val="32"/>
          <w:szCs w:val="32"/>
          <w:u w:val="single"/>
          <w:lang w:val="en-US" w:eastAsia="zh-CN"/>
        </w:rPr>
        <w:t>日</w:t>
      </w:r>
    </w:p>
    <w:p>
      <w:pPr>
        <w:spacing w:line="600" w:lineRule="exact"/>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cs="Times New Roman"/>
          <w:sz w:val="24"/>
          <w:szCs w:val="32"/>
        </w:rPr>
      </w:pPr>
    </w:p>
    <w:p>
      <w:pPr>
        <w:spacing w:line="600" w:lineRule="exact"/>
        <w:rPr>
          <w:rFonts w:ascii="Times New Roman" w:hAnsi="Times New Roman" w:cs="Times New Roman"/>
          <w:sz w:val="24"/>
          <w:szCs w:val="32"/>
        </w:rPr>
      </w:pPr>
      <w:r>
        <w:rPr>
          <w:rFonts w:hint="default" w:ascii="Times New Roman" w:hAnsi="Times New Roman" w:cs="Times New Roman"/>
          <w:sz w:val="24"/>
          <w:szCs w:val="32"/>
        </w:rPr>
        <w:drawing>
          <wp:anchor distT="0" distB="0" distL="114300" distR="114300" simplePos="0" relativeHeight="251659264" behindDoc="0" locked="0" layoutInCell="1" allowOverlap="1">
            <wp:simplePos x="0" y="0"/>
            <wp:positionH relativeFrom="page">
              <wp:posOffset>2350135</wp:posOffset>
            </wp:positionH>
            <wp:positionV relativeFrom="page">
              <wp:posOffset>1988820</wp:posOffset>
            </wp:positionV>
            <wp:extent cx="3017520" cy="2795270"/>
            <wp:effectExtent l="0" t="0" r="0" b="0"/>
            <wp:wrapNone/>
            <wp:docPr id="5" name="图片 3" descr="1614682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614682130(1)"/>
                    <pic:cNvPicPr>
                      <a:picLocks noChangeAspect="1"/>
                    </pic:cNvPicPr>
                  </pic:nvPicPr>
                  <pic:blipFill>
                    <a:blip r:embed="rId11"/>
                    <a:stretch>
                      <a:fillRect/>
                    </a:stretch>
                  </pic:blipFill>
                  <pic:spPr>
                    <a:xfrm>
                      <a:off x="0" y="0"/>
                      <a:ext cx="3017520" cy="2795270"/>
                    </a:xfrm>
                    <a:prstGeom prst="rect">
                      <a:avLst/>
                    </a:prstGeom>
                    <a:noFill/>
                    <a:ln>
                      <a:noFill/>
                    </a:ln>
                  </pic:spPr>
                </pic:pic>
              </a:graphicData>
            </a:graphic>
          </wp:anchor>
        </w:drawing>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cs="Times New Roman"/>
          <w:b/>
          <w:bCs/>
          <w:sz w:val="28"/>
          <w:szCs w:val="36"/>
        </w:rPr>
      </w:pPr>
      <w:r>
        <w:rPr>
          <w:rFonts w:hint="default" w:ascii="Times New Roman" w:hAnsi="Times New Roman" w:cs="Times New Roman"/>
          <w:b/>
          <w:bCs/>
          <w:sz w:val="28"/>
          <w:szCs w:val="36"/>
        </w:rPr>
        <w:drawing>
          <wp:anchor distT="0" distB="0" distL="114300" distR="114300" simplePos="0" relativeHeight="251660288" behindDoc="0" locked="0" layoutInCell="1" allowOverlap="1">
            <wp:simplePos x="0" y="0"/>
            <wp:positionH relativeFrom="page">
              <wp:posOffset>1734820</wp:posOffset>
            </wp:positionH>
            <wp:positionV relativeFrom="page">
              <wp:posOffset>1611630</wp:posOffset>
            </wp:positionV>
            <wp:extent cx="4010025" cy="3196590"/>
            <wp:effectExtent l="0" t="0" r="0" b="0"/>
            <wp:wrapNone/>
            <wp:docPr id="6" name="图片 3" descr="1614682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614682171(1)"/>
                    <pic:cNvPicPr>
                      <a:picLocks noChangeAspect="1"/>
                    </pic:cNvPicPr>
                  </pic:nvPicPr>
                  <pic:blipFill>
                    <a:blip r:embed="rId12"/>
                    <a:stretch>
                      <a:fillRect/>
                    </a:stretch>
                  </pic:blipFill>
                  <pic:spPr>
                    <a:xfrm>
                      <a:off x="0" y="0"/>
                      <a:ext cx="4010025" cy="3196590"/>
                    </a:xfrm>
                    <a:prstGeom prst="rect">
                      <a:avLst/>
                    </a:prstGeom>
                    <a:noFill/>
                    <a:ln>
                      <a:noFill/>
                    </a:ln>
                  </pic:spPr>
                </pic:pic>
              </a:graphicData>
            </a:graphic>
          </wp:anchor>
        </w:drawing>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ind w:firstLine="480" w:firstLineChars="200"/>
        <w:rPr>
          <w:rFonts w:ascii="Times New Roman" w:hAnsi="Times New Roman" w:cs="Times New Roman"/>
          <w:sz w:val="24"/>
          <w:szCs w:val="32"/>
        </w:rPr>
      </w:pPr>
    </w:p>
    <w:p>
      <w:pPr>
        <w:spacing w:line="700" w:lineRule="exact"/>
        <w:ind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市（县）</w:t>
      </w:r>
      <w:r>
        <w:rPr>
          <w:rFonts w:hint="eastAsia" w:ascii="方正小标宋简体" w:hAnsi="方正小标宋简体" w:eastAsia="方正小标宋简体" w:cs="方正小标宋简体"/>
          <w:b w:val="0"/>
          <w:bCs w:val="0"/>
          <w:sz w:val="44"/>
          <w:szCs w:val="44"/>
          <w:lang w:eastAsia="zh-CN"/>
        </w:rPr>
        <w:t>人民</w:t>
      </w:r>
      <w:r>
        <w:rPr>
          <w:rFonts w:hint="eastAsia" w:ascii="方正小标宋简体" w:hAnsi="方正小标宋简体" w:eastAsia="方正小标宋简体" w:cs="方正小标宋简体"/>
          <w:b w:val="0"/>
          <w:bCs w:val="0"/>
          <w:sz w:val="44"/>
          <w:szCs w:val="44"/>
        </w:rPr>
        <w:t>政府</w:t>
      </w:r>
      <w:r>
        <w:rPr>
          <w:rFonts w:hint="eastAsia" w:ascii="方正小标宋简体" w:hAnsi="方正小标宋简体" w:eastAsia="方正小标宋简体" w:cs="方正小标宋简体"/>
          <w:b w:val="0"/>
          <w:bCs w:val="0"/>
          <w:sz w:val="44"/>
          <w:szCs w:val="44"/>
          <w:lang w:eastAsia="zh-CN"/>
        </w:rPr>
        <w:t>自然资源主管</w:t>
      </w:r>
      <w:r>
        <w:rPr>
          <w:rFonts w:hint="eastAsia" w:ascii="方正小标宋简体" w:hAnsi="方正小标宋简体" w:eastAsia="方正小标宋简体" w:cs="方正小标宋简体"/>
          <w:b w:val="0"/>
          <w:bCs w:val="0"/>
          <w:sz w:val="44"/>
          <w:szCs w:val="44"/>
        </w:rPr>
        <w:t>部门</w:t>
      </w:r>
    </w:p>
    <w:p>
      <w:pPr>
        <w:spacing w:line="7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确定的出让宗地规划条件</w:t>
      </w:r>
    </w:p>
    <w:sectPr>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4683"/>
        <w:tab w:val="clear" w:pos="8306"/>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29422"/>
    <w:multiLevelType w:val="singleLevel"/>
    <w:tmpl w:val="F0629422"/>
    <w:lvl w:ilvl="0" w:tentative="0">
      <w:start w:val="1"/>
      <w:numFmt w:val="chineseCounting"/>
      <w:suff w:val="nothing"/>
      <w:lvlText w:val="（%1）"/>
      <w:lvlJc w:val="left"/>
      <w:rPr>
        <w:rFonts w:hint="eastAsia"/>
      </w:rPr>
    </w:lvl>
  </w:abstractNum>
  <w:abstractNum w:abstractNumId="1">
    <w:nsid w:val="5F7F4527"/>
    <w:multiLevelType w:val="singleLevel"/>
    <w:tmpl w:val="5F7F4527"/>
    <w:lvl w:ilvl="0" w:tentative="0">
      <w:start w:val="1"/>
      <w:numFmt w:val="decimal"/>
      <w:pStyle w:val="3"/>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M2VmYTUyZDYzZTZlYjY0NzdhYzNiMzgwMjI4M2QifQ=="/>
  </w:docVars>
  <w:rsids>
    <w:rsidRoot w:val="01A15F40"/>
    <w:rsid w:val="000553A0"/>
    <w:rsid w:val="000A4831"/>
    <w:rsid w:val="000B42A2"/>
    <w:rsid w:val="000D449D"/>
    <w:rsid w:val="000D657B"/>
    <w:rsid w:val="000D6E60"/>
    <w:rsid w:val="000D7AA2"/>
    <w:rsid w:val="001135AA"/>
    <w:rsid w:val="00125552"/>
    <w:rsid w:val="0012650D"/>
    <w:rsid w:val="001370C2"/>
    <w:rsid w:val="0014396F"/>
    <w:rsid w:val="001531C1"/>
    <w:rsid w:val="00154FC6"/>
    <w:rsid w:val="0016670B"/>
    <w:rsid w:val="00176664"/>
    <w:rsid w:val="00186DBC"/>
    <w:rsid w:val="001911F5"/>
    <w:rsid w:val="00191627"/>
    <w:rsid w:val="001A6CCE"/>
    <w:rsid w:val="001F500F"/>
    <w:rsid w:val="001F7804"/>
    <w:rsid w:val="00222627"/>
    <w:rsid w:val="00223A56"/>
    <w:rsid w:val="00245ADE"/>
    <w:rsid w:val="00266724"/>
    <w:rsid w:val="00271E4B"/>
    <w:rsid w:val="002823CE"/>
    <w:rsid w:val="00290ABF"/>
    <w:rsid w:val="00294615"/>
    <w:rsid w:val="00296BC7"/>
    <w:rsid w:val="002A0DAD"/>
    <w:rsid w:val="002B5A6A"/>
    <w:rsid w:val="002E258E"/>
    <w:rsid w:val="002F6B33"/>
    <w:rsid w:val="00324736"/>
    <w:rsid w:val="00333A1D"/>
    <w:rsid w:val="00334766"/>
    <w:rsid w:val="00345E12"/>
    <w:rsid w:val="003825F9"/>
    <w:rsid w:val="00396606"/>
    <w:rsid w:val="003A2414"/>
    <w:rsid w:val="003A41D1"/>
    <w:rsid w:val="003A47EB"/>
    <w:rsid w:val="003B2ECF"/>
    <w:rsid w:val="003E5389"/>
    <w:rsid w:val="004029C2"/>
    <w:rsid w:val="00426928"/>
    <w:rsid w:val="00442397"/>
    <w:rsid w:val="004546F5"/>
    <w:rsid w:val="004D0E48"/>
    <w:rsid w:val="004D5BAC"/>
    <w:rsid w:val="004E5E3F"/>
    <w:rsid w:val="004E630A"/>
    <w:rsid w:val="00525E95"/>
    <w:rsid w:val="00527C43"/>
    <w:rsid w:val="0053130B"/>
    <w:rsid w:val="00535151"/>
    <w:rsid w:val="00556752"/>
    <w:rsid w:val="00561EAF"/>
    <w:rsid w:val="0057475F"/>
    <w:rsid w:val="005867DF"/>
    <w:rsid w:val="00594F11"/>
    <w:rsid w:val="00595084"/>
    <w:rsid w:val="005C137C"/>
    <w:rsid w:val="005F2446"/>
    <w:rsid w:val="005F2DCA"/>
    <w:rsid w:val="005F43E0"/>
    <w:rsid w:val="005F544C"/>
    <w:rsid w:val="00620EE2"/>
    <w:rsid w:val="00624387"/>
    <w:rsid w:val="0062782D"/>
    <w:rsid w:val="00657BF4"/>
    <w:rsid w:val="00663508"/>
    <w:rsid w:val="006A14A9"/>
    <w:rsid w:val="006A2888"/>
    <w:rsid w:val="006A771B"/>
    <w:rsid w:val="006B3AEE"/>
    <w:rsid w:val="006C4A8C"/>
    <w:rsid w:val="006C4CE4"/>
    <w:rsid w:val="006D29F2"/>
    <w:rsid w:val="00704A6A"/>
    <w:rsid w:val="007148AC"/>
    <w:rsid w:val="007269F1"/>
    <w:rsid w:val="007403E7"/>
    <w:rsid w:val="00746437"/>
    <w:rsid w:val="00762F9E"/>
    <w:rsid w:val="00773C47"/>
    <w:rsid w:val="00784766"/>
    <w:rsid w:val="00784DD1"/>
    <w:rsid w:val="007874BF"/>
    <w:rsid w:val="00794109"/>
    <w:rsid w:val="00797232"/>
    <w:rsid w:val="007B1516"/>
    <w:rsid w:val="00805BF3"/>
    <w:rsid w:val="008415FC"/>
    <w:rsid w:val="00860E16"/>
    <w:rsid w:val="00870E58"/>
    <w:rsid w:val="00873844"/>
    <w:rsid w:val="00875C7D"/>
    <w:rsid w:val="008803D4"/>
    <w:rsid w:val="0088790B"/>
    <w:rsid w:val="00895174"/>
    <w:rsid w:val="008B0F49"/>
    <w:rsid w:val="008C1B6E"/>
    <w:rsid w:val="008E756D"/>
    <w:rsid w:val="008F2791"/>
    <w:rsid w:val="008F72C8"/>
    <w:rsid w:val="009143E5"/>
    <w:rsid w:val="00932CF6"/>
    <w:rsid w:val="009414FA"/>
    <w:rsid w:val="0094767B"/>
    <w:rsid w:val="00993CCC"/>
    <w:rsid w:val="00995E9F"/>
    <w:rsid w:val="00A02427"/>
    <w:rsid w:val="00A150A8"/>
    <w:rsid w:val="00A54C4F"/>
    <w:rsid w:val="00A83003"/>
    <w:rsid w:val="00AA46DF"/>
    <w:rsid w:val="00AB160A"/>
    <w:rsid w:val="00AB16EC"/>
    <w:rsid w:val="00AB289B"/>
    <w:rsid w:val="00AC3C18"/>
    <w:rsid w:val="00AC6FB3"/>
    <w:rsid w:val="00AE0CB5"/>
    <w:rsid w:val="00AE7E2D"/>
    <w:rsid w:val="00B0349F"/>
    <w:rsid w:val="00B0499B"/>
    <w:rsid w:val="00B25BB1"/>
    <w:rsid w:val="00B54856"/>
    <w:rsid w:val="00B57994"/>
    <w:rsid w:val="00B72D86"/>
    <w:rsid w:val="00B74F38"/>
    <w:rsid w:val="00B76F11"/>
    <w:rsid w:val="00B8146D"/>
    <w:rsid w:val="00BB0F44"/>
    <w:rsid w:val="00BD3D6A"/>
    <w:rsid w:val="00BD4545"/>
    <w:rsid w:val="00BF2D8A"/>
    <w:rsid w:val="00C47014"/>
    <w:rsid w:val="00C64DA9"/>
    <w:rsid w:val="00C86AD4"/>
    <w:rsid w:val="00C90CA0"/>
    <w:rsid w:val="00CC380F"/>
    <w:rsid w:val="00CE559C"/>
    <w:rsid w:val="00CE6565"/>
    <w:rsid w:val="00D0149E"/>
    <w:rsid w:val="00D06FD4"/>
    <w:rsid w:val="00D07F88"/>
    <w:rsid w:val="00D118F3"/>
    <w:rsid w:val="00D321F2"/>
    <w:rsid w:val="00D364A6"/>
    <w:rsid w:val="00D409C1"/>
    <w:rsid w:val="00D874DC"/>
    <w:rsid w:val="00DC3006"/>
    <w:rsid w:val="00DC3193"/>
    <w:rsid w:val="00DE1A8D"/>
    <w:rsid w:val="00DF09CC"/>
    <w:rsid w:val="00E04083"/>
    <w:rsid w:val="00E05451"/>
    <w:rsid w:val="00E30538"/>
    <w:rsid w:val="00E47044"/>
    <w:rsid w:val="00E55B3D"/>
    <w:rsid w:val="00E65101"/>
    <w:rsid w:val="00E748A5"/>
    <w:rsid w:val="00E75850"/>
    <w:rsid w:val="00E83559"/>
    <w:rsid w:val="00EA26F4"/>
    <w:rsid w:val="00EC4439"/>
    <w:rsid w:val="00EC44DF"/>
    <w:rsid w:val="00EC482A"/>
    <w:rsid w:val="00ED2B0A"/>
    <w:rsid w:val="00EE2FDD"/>
    <w:rsid w:val="00EF344D"/>
    <w:rsid w:val="00F14E5F"/>
    <w:rsid w:val="00F4302D"/>
    <w:rsid w:val="00F5277B"/>
    <w:rsid w:val="00F54210"/>
    <w:rsid w:val="00F95842"/>
    <w:rsid w:val="00FA0080"/>
    <w:rsid w:val="00FC16E2"/>
    <w:rsid w:val="00FE3F86"/>
    <w:rsid w:val="00FF0215"/>
    <w:rsid w:val="00FF23EF"/>
    <w:rsid w:val="013B2B96"/>
    <w:rsid w:val="01A15F40"/>
    <w:rsid w:val="01DB6F3E"/>
    <w:rsid w:val="024A43B9"/>
    <w:rsid w:val="032F1434"/>
    <w:rsid w:val="03AB5F36"/>
    <w:rsid w:val="03B84141"/>
    <w:rsid w:val="042155C7"/>
    <w:rsid w:val="05035840"/>
    <w:rsid w:val="053E0B8B"/>
    <w:rsid w:val="05BE5B43"/>
    <w:rsid w:val="06E240A7"/>
    <w:rsid w:val="076646E5"/>
    <w:rsid w:val="07DB0523"/>
    <w:rsid w:val="081D2FF5"/>
    <w:rsid w:val="082F336B"/>
    <w:rsid w:val="096E49B9"/>
    <w:rsid w:val="0A295278"/>
    <w:rsid w:val="0A3B3C06"/>
    <w:rsid w:val="0AD83203"/>
    <w:rsid w:val="0AF032FF"/>
    <w:rsid w:val="0BCB0FBA"/>
    <w:rsid w:val="0C8B25A6"/>
    <w:rsid w:val="0CA35D73"/>
    <w:rsid w:val="0E1900C6"/>
    <w:rsid w:val="0E341099"/>
    <w:rsid w:val="0E701B60"/>
    <w:rsid w:val="0E720A15"/>
    <w:rsid w:val="0F1862C4"/>
    <w:rsid w:val="0F362BEE"/>
    <w:rsid w:val="0F8676D2"/>
    <w:rsid w:val="111D38AC"/>
    <w:rsid w:val="11382C4E"/>
    <w:rsid w:val="12114269"/>
    <w:rsid w:val="12437AFC"/>
    <w:rsid w:val="128B0AE6"/>
    <w:rsid w:val="12AC36BC"/>
    <w:rsid w:val="13286CF2"/>
    <w:rsid w:val="132C67E2"/>
    <w:rsid w:val="13990F63"/>
    <w:rsid w:val="142325C9"/>
    <w:rsid w:val="14D4613B"/>
    <w:rsid w:val="14F10027"/>
    <w:rsid w:val="154806E4"/>
    <w:rsid w:val="15A24B3A"/>
    <w:rsid w:val="15C0559E"/>
    <w:rsid w:val="15F235F3"/>
    <w:rsid w:val="1680730F"/>
    <w:rsid w:val="16DD7D23"/>
    <w:rsid w:val="16FA09A5"/>
    <w:rsid w:val="16FC471D"/>
    <w:rsid w:val="17B223A2"/>
    <w:rsid w:val="17F95188"/>
    <w:rsid w:val="17F954FC"/>
    <w:rsid w:val="18C71206"/>
    <w:rsid w:val="197E7A47"/>
    <w:rsid w:val="19A57204"/>
    <w:rsid w:val="1AE6371B"/>
    <w:rsid w:val="1AE71241"/>
    <w:rsid w:val="1BB43819"/>
    <w:rsid w:val="1C796F8E"/>
    <w:rsid w:val="1CFC1581"/>
    <w:rsid w:val="1D4B91F9"/>
    <w:rsid w:val="1DC35F95"/>
    <w:rsid w:val="1DD800C2"/>
    <w:rsid w:val="1DFE12E6"/>
    <w:rsid w:val="1DFF0159"/>
    <w:rsid w:val="1E162569"/>
    <w:rsid w:val="1E702911"/>
    <w:rsid w:val="1E9B8761"/>
    <w:rsid w:val="1EB63404"/>
    <w:rsid w:val="1EC22E9E"/>
    <w:rsid w:val="1EC46455"/>
    <w:rsid w:val="1EF108E0"/>
    <w:rsid w:val="1EFCEF6A"/>
    <w:rsid w:val="1F1F71FB"/>
    <w:rsid w:val="1F6A6426"/>
    <w:rsid w:val="1FB14D20"/>
    <w:rsid w:val="20054643"/>
    <w:rsid w:val="22903CB9"/>
    <w:rsid w:val="22CD2038"/>
    <w:rsid w:val="235562C5"/>
    <w:rsid w:val="239D2DE4"/>
    <w:rsid w:val="23A91789"/>
    <w:rsid w:val="23CF684B"/>
    <w:rsid w:val="243F5C4A"/>
    <w:rsid w:val="250237A4"/>
    <w:rsid w:val="254F7A20"/>
    <w:rsid w:val="259A3A7F"/>
    <w:rsid w:val="25F3141C"/>
    <w:rsid w:val="261E645E"/>
    <w:rsid w:val="26922BBE"/>
    <w:rsid w:val="27D52B4D"/>
    <w:rsid w:val="28400275"/>
    <w:rsid w:val="286612FF"/>
    <w:rsid w:val="288C0AFC"/>
    <w:rsid w:val="291D4167"/>
    <w:rsid w:val="293E0349"/>
    <w:rsid w:val="2A816FBC"/>
    <w:rsid w:val="2A946CEF"/>
    <w:rsid w:val="2B33475A"/>
    <w:rsid w:val="2B6E61E2"/>
    <w:rsid w:val="2BBF4437"/>
    <w:rsid w:val="2BFF0E1A"/>
    <w:rsid w:val="2CB54404"/>
    <w:rsid w:val="2CEB4BC0"/>
    <w:rsid w:val="2D045C82"/>
    <w:rsid w:val="2DE53D06"/>
    <w:rsid w:val="2EE24644"/>
    <w:rsid w:val="2FF46E3B"/>
    <w:rsid w:val="2FF63961"/>
    <w:rsid w:val="302D729E"/>
    <w:rsid w:val="308876C5"/>
    <w:rsid w:val="30F027A5"/>
    <w:rsid w:val="31232B7B"/>
    <w:rsid w:val="32CD6091"/>
    <w:rsid w:val="33245206"/>
    <w:rsid w:val="341B3FDD"/>
    <w:rsid w:val="34391DB0"/>
    <w:rsid w:val="34F07218"/>
    <w:rsid w:val="359234CA"/>
    <w:rsid w:val="35B51554"/>
    <w:rsid w:val="3686094D"/>
    <w:rsid w:val="3701395E"/>
    <w:rsid w:val="37092C00"/>
    <w:rsid w:val="37C8622A"/>
    <w:rsid w:val="37D60ACE"/>
    <w:rsid w:val="38283467"/>
    <w:rsid w:val="38A70A8F"/>
    <w:rsid w:val="39EA278F"/>
    <w:rsid w:val="3B010FB5"/>
    <w:rsid w:val="3BE159A5"/>
    <w:rsid w:val="3BFF1C32"/>
    <w:rsid w:val="3C634773"/>
    <w:rsid w:val="3D0B5494"/>
    <w:rsid w:val="3D77F0F7"/>
    <w:rsid w:val="3D8967CE"/>
    <w:rsid w:val="3DC76F84"/>
    <w:rsid w:val="3DCFEDB8"/>
    <w:rsid w:val="3DE03BA2"/>
    <w:rsid w:val="3DE74F30"/>
    <w:rsid w:val="3DFD6FFF"/>
    <w:rsid w:val="3E3E7B46"/>
    <w:rsid w:val="3E7E5894"/>
    <w:rsid w:val="3EC027B3"/>
    <w:rsid w:val="3EDF3E59"/>
    <w:rsid w:val="3F779BDF"/>
    <w:rsid w:val="3F7A2D14"/>
    <w:rsid w:val="3FA5F91A"/>
    <w:rsid w:val="3FFA9402"/>
    <w:rsid w:val="41416B61"/>
    <w:rsid w:val="41732C71"/>
    <w:rsid w:val="41A6247C"/>
    <w:rsid w:val="42350960"/>
    <w:rsid w:val="42AF5166"/>
    <w:rsid w:val="42EB591C"/>
    <w:rsid w:val="434F98A8"/>
    <w:rsid w:val="43500A2F"/>
    <w:rsid w:val="43D62240"/>
    <w:rsid w:val="440C56F0"/>
    <w:rsid w:val="44583CF8"/>
    <w:rsid w:val="44A522D4"/>
    <w:rsid w:val="44B77E52"/>
    <w:rsid w:val="45A75D52"/>
    <w:rsid w:val="45DD7344"/>
    <w:rsid w:val="45E76415"/>
    <w:rsid w:val="469814BD"/>
    <w:rsid w:val="46B61944"/>
    <w:rsid w:val="46E464B1"/>
    <w:rsid w:val="477E6905"/>
    <w:rsid w:val="47DFBA7B"/>
    <w:rsid w:val="482F5E51"/>
    <w:rsid w:val="49B93C25"/>
    <w:rsid w:val="4A5C2802"/>
    <w:rsid w:val="4AF5538A"/>
    <w:rsid w:val="4AF8077D"/>
    <w:rsid w:val="4B124C8E"/>
    <w:rsid w:val="4B7C4805"/>
    <w:rsid w:val="4BA32DDE"/>
    <w:rsid w:val="4BA3693A"/>
    <w:rsid w:val="4BB328F5"/>
    <w:rsid w:val="4C9C085A"/>
    <w:rsid w:val="4CF11927"/>
    <w:rsid w:val="4D90674F"/>
    <w:rsid w:val="4DD95A7F"/>
    <w:rsid w:val="4E0F0CBC"/>
    <w:rsid w:val="4EC41512"/>
    <w:rsid w:val="4EF93CAE"/>
    <w:rsid w:val="4F384E62"/>
    <w:rsid w:val="4F6201F4"/>
    <w:rsid w:val="4F6B59C1"/>
    <w:rsid w:val="4FD880E4"/>
    <w:rsid w:val="502E2F38"/>
    <w:rsid w:val="508772A9"/>
    <w:rsid w:val="521F680F"/>
    <w:rsid w:val="53FD786B"/>
    <w:rsid w:val="540C3175"/>
    <w:rsid w:val="54A21A9D"/>
    <w:rsid w:val="55345488"/>
    <w:rsid w:val="55C36EB7"/>
    <w:rsid w:val="55FB6637"/>
    <w:rsid w:val="55FFB48D"/>
    <w:rsid w:val="567E79D1"/>
    <w:rsid w:val="569C2498"/>
    <w:rsid w:val="56C962C7"/>
    <w:rsid w:val="56E624EA"/>
    <w:rsid w:val="577FBACC"/>
    <w:rsid w:val="57CF0AB7"/>
    <w:rsid w:val="58247055"/>
    <w:rsid w:val="58DA7713"/>
    <w:rsid w:val="58F881E0"/>
    <w:rsid w:val="5937E748"/>
    <w:rsid w:val="59AB68B2"/>
    <w:rsid w:val="59B961DB"/>
    <w:rsid w:val="5A595017"/>
    <w:rsid w:val="5B2C568B"/>
    <w:rsid w:val="5BA673C2"/>
    <w:rsid w:val="5BC53F6F"/>
    <w:rsid w:val="5BDE7E7B"/>
    <w:rsid w:val="5BF06D04"/>
    <w:rsid w:val="5C645C72"/>
    <w:rsid w:val="5CC23111"/>
    <w:rsid w:val="5D6F58D5"/>
    <w:rsid w:val="5DCBBE14"/>
    <w:rsid w:val="5E2344C4"/>
    <w:rsid w:val="5F172FB2"/>
    <w:rsid w:val="5F3E57D1"/>
    <w:rsid w:val="5F3EB4A4"/>
    <w:rsid w:val="5F3F9C3B"/>
    <w:rsid w:val="5F771A02"/>
    <w:rsid w:val="5FAF452F"/>
    <w:rsid w:val="5FBF5135"/>
    <w:rsid w:val="5FDA9561"/>
    <w:rsid w:val="5FF58D65"/>
    <w:rsid w:val="5FFD15E1"/>
    <w:rsid w:val="5FFEB648"/>
    <w:rsid w:val="61A30FEA"/>
    <w:rsid w:val="61C5536E"/>
    <w:rsid w:val="61E635CD"/>
    <w:rsid w:val="6215132D"/>
    <w:rsid w:val="62822541"/>
    <w:rsid w:val="63FA14B6"/>
    <w:rsid w:val="63FFDE03"/>
    <w:rsid w:val="64410F0E"/>
    <w:rsid w:val="64521DC3"/>
    <w:rsid w:val="64B140D9"/>
    <w:rsid w:val="658C0787"/>
    <w:rsid w:val="65982EF0"/>
    <w:rsid w:val="65DF280D"/>
    <w:rsid w:val="65F30067"/>
    <w:rsid w:val="65FABCCF"/>
    <w:rsid w:val="664E62DC"/>
    <w:rsid w:val="67154708"/>
    <w:rsid w:val="672957C5"/>
    <w:rsid w:val="67341693"/>
    <w:rsid w:val="67561429"/>
    <w:rsid w:val="677A5B1A"/>
    <w:rsid w:val="678E03E6"/>
    <w:rsid w:val="67BF46A4"/>
    <w:rsid w:val="67F26828"/>
    <w:rsid w:val="67FEEF46"/>
    <w:rsid w:val="67FF0F45"/>
    <w:rsid w:val="68466B73"/>
    <w:rsid w:val="684D4EE7"/>
    <w:rsid w:val="685968A7"/>
    <w:rsid w:val="68DB54C9"/>
    <w:rsid w:val="694035C3"/>
    <w:rsid w:val="69561038"/>
    <w:rsid w:val="69787200"/>
    <w:rsid w:val="69841830"/>
    <w:rsid w:val="6AD70C43"/>
    <w:rsid w:val="6B395F8A"/>
    <w:rsid w:val="6B5C4ABB"/>
    <w:rsid w:val="6B5E6668"/>
    <w:rsid w:val="6B731172"/>
    <w:rsid w:val="6B7D8721"/>
    <w:rsid w:val="6B9E0A74"/>
    <w:rsid w:val="6BF202AE"/>
    <w:rsid w:val="6C33740F"/>
    <w:rsid w:val="6C3FAA6C"/>
    <w:rsid w:val="6C517895"/>
    <w:rsid w:val="6CE17667"/>
    <w:rsid w:val="6D18494C"/>
    <w:rsid w:val="6D1C1CEB"/>
    <w:rsid w:val="6DC522E8"/>
    <w:rsid w:val="6DD674EE"/>
    <w:rsid w:val="6DEF3F63"/>
    <w:rsid w:val="6E3028C0"/>
    <w:rsid w:val="6F712728"/>
    <w:rsid w:val="6F77EBD8"/>
    <w:rsid w:val="6FDFCCC9"/>
    <w:rsid w:val="6FFD46F2"/>
    <w:rsid w:val="6FFD7BA9"/>
    <w:rsid w:val="716D2549"/>
    <w:rsid w:val="71F7F5A1"/>
    <w:rsid w:val="723D4E5F"/>
    <w:rsid w:val="72842772"/>
    <w:rsid w:val="72DC6123"/>
    <w:rsid w:val="72EC0317"/>
    <w:rsid w:val="737A6252"/>
    <w:rsid w:val="73E57241"/>
    <w:rsid w:val="73EFF1D0"/>
    <w:rsid w:val="74FBBBB6"/>
    <w:rsid w:val="75395A43"/>
    <w:rsid w:val="75522435"/>
    <w:rsid w:val="75B0387E"/>
    <w:rsid w:val="75FF726D"/>
    <w:rsid w:val="763D7589"/>
    <w:rsid w:val="765A10A6"/>
    <w:rsid w:val="76662C5D"/>
    <w:rsid w:val="767B3E8C"/>
    <w:rsid w:val="767F2A62"/>
    <w:rsid w:val="7699C17A"/>
    <w:rsid w:val="769FED07"/>
    <w:rsid w:val="76EB057D"/>
    <w:rsid w:val="76EF7359"/>
    <w:rsid w:val="76FFF539"/>
    <w:rsid w:val="773FB89B"/>
    <w:rsid w:val="77403973"/>
    <w:rsid w:val="7758241F"/>
    <w:rsid w:val="775FB315"/>
    <w:rsid w:val="77AD366D"/>
    <w:rsid w:val="77BA1AA0"/>
    <w:rsid w:val="77E912C9"/>
    <w:rsid w:val="77EDEAF8"/>
    <w:rsid w:val="77FEC147"/>
    <w:rsid w:val="786D71E6"/>
    <w:rsid w:val="78856B64"/>
    <w:rsid w:val="78A27DF6"/>
    <w:rsid w:val="78BD078C"/>
    <w:rsid w:val="792F71B0"/>
    <w:rsid w:val="79501926"/>
    <w:rsid w:val="799B0146"/>
    <w:rsid w:val="7A4D2369"/>
    <w:rsid w:val="7A8A69B9"/>
    <w:rsid w:val="7AFE662B"/>
    <w:rsid w:val="7B93E78E"/>
    <w:rsid w:val="7B9BB423"/>
    <w:rsid w:val="7BD858DD"/>
    <w:rsid w:val="7BDB2EE1"/>
    <w:rsid w:val="7BF48397"/>
    <w:rsid w:val="7BFB9F03"/>
    <w:rsid w:val="7C3AD9FF"/>
    <w:rsid w:val="7CFE41AE"/>
    <w:rsid w:val="7CFFD699"/>
    <w:rsid w:val="7D472C07"/>
    <w:rsid w:val="7D57D484"/>
    <w:rsid w:val="7D935524"/>
    <w:rsid w:val="7D9F648D"/>
    <w:rsid w:val="7DBFEBAC"/>
    <w:rsid w:val="7DD32800"/>
    <w:rsid w:val="7DEF30A5"/>
    <w:rsid w:val="7DF10ED8"/>
    <w:rsid w:val="7DFA78DE"/>
    <w:rsid w:val="7DFD94FC"/>
    <w:rsid w:val="7E7EBA13"/>
    <w:rsid w:val="7E96581D"/>
    <w:rsid w:val="7EA321D2"/>
    <w:rsid w:val="7EB3766C"/>
    <w:rsid w:val="7EB919F5"/>
    <w:rsid w:val="7EC722C9"/>
    <w:rsid w:val="7F1D0A5D"/>
    <w:rsid w:val="7F5F0D31"/>
    <w:rsid w:val="7F7396C1"/>
    <w:rsid w:val="7FAB1293"/>
    <w:rsid w:val="7FBF0DE7"/>
    <w:rsid w:val="7FCFBF5C"/>
    <w:rsid w:val="7FD3CB1D"/>
    <w:rsid w:val="7FDCDECE"/>
    <w:rsid w:val="7FE7E346"/>
    <w:rsid w:val="7FEB2EAC"/>
    <w:rsid w:val="7FF6F72E"/>
    <w:rsid w:val="7FFA42AE"/>
    <w:rsid w:val="7FFEA2B0"/>
    <w:rsid w:val="7FFFB2C5"/>
    <w:rsid w:val="8BFDACF6"/>
    <w:rsid w:val="8EEF3211"/>
    <w:rsid w:val="97BD253A"/>
    <w:rsid w:val="97D63571"/>
    <w:rsid w:val="9BABCF68"/>
    <w:rsid w:val="9CD6134C"/>
    <w:rsid w:val="9DF7647D"/>
    <w:rsid w:val="9FF73FD6"/>
    <w:rsid w:val="A3D9E10C"/>
    <w:rsid w:val="A7E757C8"/>
    <w:rsid w:val="A9FF3286"/>
    <w:rsid w:val="AA3FEE58"/>
    <w:rsid w:val="ACFFD901"/>
    <w:rsid w:val="AD534893"/>
    <w:rsid w:val="B97DFDB1"/>
    <w:rsid w:val="B97FDEA5"/>
    <w:rsid w:val="BA7B23C6"/>
    <w:rsid w:val="BABC28FE"/>
    <w:rsid w:val="BAFF3771"/>
    <w:rsid w:val="BDAC3B5E"/>
    <w:rsid w:val="BDEF9BE3"/>
    <w:rsid w:val="BDFDC576"/>
    <w:rsid w:val="BEB7B612"/>
    <w:rsid w:val="BEBF26DD"/>
    <w:rsid w:val="BF9E5009"/>
    <w:rsid w:val="BFFC450A"/>
    <w:rsid w:val="C7FF94E8"/>
    <w:rsid w:val="CBFB2E9B"/>
    <w:rsid w:val="CDEF35DA"/>
    <w:rsid w:val="CED63192"/>
    <w:rsid w:val="D2FF1810"/>
    <w:rsid w:val="D3B7FDBF"/>
    <w:rsid w:val="D66E3872"/>
    <w:rsid w:val="D77FBC35"/>
    <w:rsid w:val="D7EEBA14"/>
    <w:rsid w:val="D7EFEB05"/>
    <w:rsid w:val="DA7DA613"/>
    <w:rsid w:val="DAFF463B"/>
    <w:rsid w:val="DB8DB608"/>
    <w:rsid w:val="DDFBEEB9"/>
    <w:rsid w:val="DEDABA8A"/>
    <w:rsid w:val="DF6F686D"/>
    <w:rsid w:val="DF6FAC12"/>
    <w:rsid w:val="DFF2A983"/>
    <w:rsid w:val="DFFFBDF5"/>
    <w:rsid w:val="E1BBDA04"/>
    <w:rsid w:val="E67F5E06"/>
    <w:rsid w:val="E72C6789"/>
    <w:rsid w:val="E7FB4D88"/>
    <w:rsid w:val="E8FE2937"/>
    <w:rsid w:val="E9FB116C"/>
    <w:rsid w:val="EB52105B"/>
    <w:rsid w:val="EBFC1ACA"/>
    <w:rsid w:val="ED6BBCF2"/>
    <w:rsid w:val="EE3D79AA"/>
    <w:rsid w:val="EE4CB6DA"/>
    <w:rsid w:val="EEEE71CD"/>
    <w:rsid w:val="EEFDBB6F"/>
    <w:rsid w:val="EF3C3A7D"/>
    <w:rsid w:val="EF672408"/>
    <w:rsid w:val="EF7B3028"/>
    <w:rsid w:val="EFFB070C"/>
    <w:rsid w:val="F1BD4C22"/>
    <w:rsid w:val="F2FFEEFC"/>
    <w:rsid w:val="F3EF4536"/>
    <w:rsid w:val="F44EE8A1"/>
    <w:rsid w:val="F4BFB31F"/>
    <w:rsid w:val="F57CE64E"/>
    <w:rsid w:val="F5FFD533"/>
    <w:rsid w:val="F6BB7823"/>
    <w:rsid w:val="F6FF3BB8"/>
    <w:rsid w:val="F7BE2BA9"/>
    <w:rsid w:val="F7BF7985"/>
    <w:rsid w:val="F7DD0E13"/>
    <w:rsid w:val="F7E4DB08"/>
    <w:rsid w:val="F7FE76AA"/>
    <w:rsid w:val="F7FF6767"/>
    <w:rsid w:val="F9D7C200"/>
    <w:rsid w:val="F9E75C51"/>
    <w:rsid w:val="F9F26BF9"/>
    <w:rsid w:val="FA798570"/>
    <w:rsid w:val="FB7BF82F"/>
    <w:rsid w:val="FB97A64B"/>
    <w:rsid w:val="FBBF0A0B"/>
    <w:rsid w:val="FBFBD38A"/>
    <w:rsid w:val="FBFDF19B"/>
    <w:rsid w:val="FC1FFEC2"/>
    <w:rsid w:val="FCAD9EAC"/>
    <w:rsid w:val="FCEF9492"/>
    <w:rsid w:val="FCF51397"/>
    <w:rsid w:val="FDEF6AAE"/>
    <w:rsid w:val="FDFA98C8"/>
    <w:rsid w:val="FDFF0EC6"/>
    <w:rsid w:val="FEB63745"/>
    <w:rsid w:val="FEBF4635"/>
    <w:rsid w:val="FED7716B"/>
    <w:rsid w:val="FEFB22D6"/>
    <w:rsid w:val="FEFD488C"/>
    <w:rsid w:val="FF32F0A4"/>
    <w:rsid w:val="FF36E24F"/>
    <w:rsid w:val="FF5AF675"/>
    <w:rsid w:val="FF5FB3EC"/>
    <w:rsid w:val="FF67B313"/>
    <w:rsid w:val="FF9E63E9"/>
    <w:rsid w:val="FFCFCF3A"/>
    <w:rsid w:val="FFCFD8A1"/>
    <w:rsid w:val="FFD364A2"/>
    <w:rsid w:val="FFDFDC01"/>
    <w:rsid w:val="FFE77729"/>
    <w:rsid w:val="FFEDBABA"/>
    <w:rsid w:val="FFF33D7F"/>
    <w:rsid w:val="FFFF134B"/>
    <w:rsid w:val="FFFF2F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hAnsi="Courier New"/>
    </w:rPr>
  </w:style>
  <w:style w:type="paragraph" w:styleId="3">
    <w:name w:val="List Number 5"/>
    <w:basedOn w:val="1"/>
    <w:qFormat/>
    <w:uiPriority w:val="0"/>
    <w:pPr>
      <w:numPr>
        <w:ilvl w:val="0"/>
        <w:numId w:val="1"/>
      </w:numPr>
    </w:pPr>
  </w:style>
  <w:style w:type="paragraph" w:styleId="4">
    <w:name w:val="annotation text"/>
    <w:basedOn w:val="1"/>
    <w:qFormat/>
    <w:uiPriority w:val="0"/>
    <w:pPr>
      <w:jc w:val="left"/>
    </w:p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uiPriority w:val="99"/>
    <w:rPr>
      <w:kern w:val="2"/>
      <w:sz w:val="18"/>
      <w:szCs w:val="18"/>
    </w:rPr>
  </w:style>
  <w:style w:type="character" w:customStyle="1" w:styleId="10">
    <w:name w:val="页眉 字符"/>
    <w:link w:val="6"/>
    <w:qFormat/>
    <w:uiPriority w:val="0"/>
    <w:rPr>
      <w:kern w:val="2"/>
      <w:sz w:val="18"/>
      <w:szCs w:val="18"/>
    </w:rPr>
  </w:style>
  <w:style w:type="paragraph" w:styleId="11">
    <w:name w:val="List Paragraph"/>
    <w:basedOn w:val="1"/>
    <w:qFormat/>
    <w:uiPriority w:val="99"/>
    <w:pPr>
      <w:ind w:firstLine="420" w:firstLineChars="200"/>
    </w:pPr>
  </w:style>
  <w:style w:type="paragraph" w:customStyle="1" w:styleId="12">
    <w:name w:val="Revision"/>
    <w:semiHidden/>
    <w:qFormat/>
    <w:uiPriority w:val="99"/>
    <w:rPr>
      <w:rFonts w:ascii="Calibri" w:hAnsi="Calibri" w:eastAsia="宋体" w:cs="Times New Roman"/>
      <w:kern w:val="2"/>
      <w:sz w:val="21"/>
      <w:szCs w:val="24"/>
      <w:lang w:val="en-US" w:eastAsia="zh-CN" w:bidi="ar-SA"/>
    </w:rPr>
  </w:style>
  <w:style w:type="paragraph" w:customStyle="1" w:styleId="13">
    <w:name w:val="_Style 12"/>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7163</Words>
  <Characters>7967</Characters>
  <Lines>72</Lines>
  <Paragraphs>20</Paragraphs>
  <TotalTime>0</TotalTime>
  <ScaleCrop>false</ScaleCrop>
  <LinksUpToDate>false</LinksUpToDate>
  <CharactersWithSpaces>8127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2024-01-21T11:08:00Z</dcterms:created>
  <dc:creator>wu liang</dc:creator>
  <cp:lastModifiedBy>A</cp:lastModifiedBy>
  <cp:lastPrinted>2025-10-24T07:28:00Z</cp:lastPrinted>
  <dcterms:modified xsi:type="dcterms:W3CDTF">2026-04-24T07:23:59Z</dcterms:modified>
  <dc:title>附件2</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F5E88C43BE8D4DFF857EFB1EB8605307</vt:lpwstr>
  </property>
  <property fmtid="{D5CDD505-2E9C-101B-9397-08002B2CF9AE}" pid="4" name="KSOTemplateDocerSaveRecord">
    <vt:lpwstr>eyJoZGlkIjoiNDFlMjEzNWIzODJjYjA4ZmZmNTYxMzExNWUwZjU0OTMiLCJ1c2VySWQiOiI0ODc3ODQwMDgifQ==</vt:lpwstr>
  </property>
</Properties>
</file>