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440" w:lineRule="exact"/>
        <w:jc w:val="center"/>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惠州市</w:t>
      </w:r>
      <w:r>
        <w:rPr>
          <w:rFonts w:hint="eastAsia" w:ascii="方正小标宋简体" w:hAnsi="方正小标宋简体" w:eastAsia="方正小标宋简体" w:cs="方正小标宋简体"/>
          <w:b w:val="0"/>
          <w:bCs w:val="0"/>
          <w:color w:val="auto"/>
          <w:spacing w:val="3"/>
          <w:sz w:val="44"/>
          <w:szCs w:val="44"/>
          <w:highlight w:val="none"/>
          <w:lang w:eastAsia="zh-CN"/>
        </w:rPr>
        <w:t>龙门县</w:t>
      </w:r>
      <w:r>
        <w:rPr>
          <w:rFonts w:hint="eastAsia" w:ascii="方正小标宋简体" w:hAnsi="方正小标宋简体" w:eastAsia="方正小标宋简体"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bidi w:val="0"/>
        <w:spacing w:line="440" w:lineRule="exact"/>
        <w:ind w:left="4018" w:hanging="4014" w:hangingChars="9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网上挂牌</w:t>
      </w:r>
      <w:r>
        <w:rPr>
          <w:rFonts w:hint="eastAsia" w:ascii="方正小标宋简体" w:hAnsi="方正小标宋简体" w:eastAsia="方正小标宋简体"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龙自然资挂</w:t>
      </w:r>
      <w:r>
        <w:rPr>
          <w:rFonts w:hint="eastAsia" w:ascii="仿宋_GB2312" w:hAnsi="仿宋_GB2312" w:eastAsia="仿宋_GB2312" w:cs="仿宋_GB2312"/>
          <w:b w:val="0"/>
          <w:bCs w:val="0"/>
          <w:color w:val="auto"/>
          <w:sz w:val="32"/>
          <w:szCs w:val="32"/>
          <w:highlight w:val="none"/>
          <w:lang w:eastAsia="zh-CN"/>
        </w:rPr>
        <w:t>﹝2022﹞</w:t>
      </w:r>
      <w:r>
        <w:rPr>
          <w:rFonts w:hint="eastAsia" w:ascii="仿宋_GB2312" w:hAnsi="仿宋_GB2312" w:eastAsia="仿宋_GB2312" w:cs="仿宋_GB2312"/>
          <w:b w:val="0"/>
          <w:bCs w:val="0"/>
          <w:color w:val="auto"/>
          <w:sz w:val="32"/>
          <w:szCs w:val="32"/>
          <w:highlight w:val="none"/>
          <w:lang w:val="en-US" w:eastAsia="zh-CN"/>
        </w:rPr>
        <w:t>004</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挂牌起始价及加价幅度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见附表</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25</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29</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29</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因企业原因造成土地闲置一年以上且至报名日止未处理完结；</w:t>
      </w:r>
    </w:p>
    <w:p>
      <w:pPr>
        <w:pStyle w:val="8"/>
        <w:keepNext w:val="0"/>
        <w:keepLines w:val="0"/>
        <w:pageBreakBefore w:val="0"/>
        <w:widowControl/>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4.未按出让合同约定条件开发利用土地且至报名日止未处理完结；</w:t>
      </w:r>
    </w:p>
    <w:p>
      <w:pPr>
        <w:pStyle w:val="8"/>
        <w:keepNext w:val="0"/>
        <w:keepLines w:val="0"/>
        <w:pageBreakBefore w:val="0"/>
        <w:widowControl/>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5.至报名日止仍拖欠政府地价款。</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五、</w:t>
      </w:r>
      <w:r>
        <w:rPr>
          <w:rFonts w:hint="eastAsia" w:ascii="仿宋_GB2312" w:hAnsi="仿宋_GB2312" w:eastAsia="仿宋_GB2312" w:cs="仿宋_GB2312"/>
          <w:b w:val="0"/>
          <w:bCs w:val="0"/>
          <w:color w:val="auto"/>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val="0"/>
          <w:bCs w:val="0"/>
          <w:color w:val="auto"/>
          <w:szCs w:val="32"/>
          <w:highlight w:val="none"/>
          <w:lang w:val="en-US" w:eastAsia="zh-CN"/>
        </w:rPr>
        <w:t>（一）</w:t>
      </w:r>
      <w:r>
        <w:rPr>
          <w:rFonts w:hint="eastAsia" w:hAnsi="仿宋_GB2312" w:cs="仿宋_GB2312"/>
          <w:b w:val="0"/>
          <w:bCs w:val="0"/>
          <w:color w:val="auto"/>
          <w:szCs w:val="32"/>
          <w:highlight w:val="none"/>
          <w:lang w:val="en-US" w:eastAsia="zh-CN"/>
        </w:rPr>
        <w:t>本公告地块竞买保证金详见附表</w:t>
      </w:r>
      <w:r>
        <w:rPr>
          <w:rFonts w:hint="eastAsia" w:ascii="仿宋_GB2312" w:hAnsi="仿宋_GB2312" w:eastAsia="仿宋_GB2312" w:cs="仿宋_GB2312"/>
          <w:b w:val="0"/>
          <w:bCs w:val="0"/>
          <w:color w:val="auto"/>
          <w:szCs w:val="32"/>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（二）</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仿宋_GB2312" w:hAnsi="仿宋_GB2312" w:eastAsia="仿宋_GB2312" w:cs="仿宋_GB2312"/>
          <w:i w:val="0"/>
          <w:iCs w:val="0"/>
          <w:caps w:val="0"/>
          <w:color w:val="333333"/>
          <w:spacing w:val="0"/>
          <w:sz w:val="31"/>
          <w:szCs w:val="31"/>
          <w:shd w:val="clear" w:fill="FFFFFF"/>
        </w:rPr>
        <w:t>，网址：https://www.hzgtjy.com/</w:t>
      </w:r>
      <w:r>
        <w:rPr>
          <w:rFonts w:hint="eastAsia" w:ascii="仿宋_GB2312" w:hAnsi="仿宋_GB2312"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w:t>
      </w:r>
      <w:r>
        <w:rPr>
          <w:rFonts w:hint="eastAsia" w:ascii="Times New Roman" w:hAnsi="Times New Roman" w:eastAsia="方正仿宋_GBK" w:cs="Times New Roman"/>
          <w:color w:val="auto"/>
          <w:sz w:val="32"/>
          <w:szCs w:val="32"/>
        </w:rPr>
        <w:t>（以下简称《出让合同》）</w:t>
      </w:r>
      <w:r>
        <w:rPr>
          <w:rFonts w:hint="eastAsia" w:ascii="仿宋_GB2312" w:hAnsi="仿宋_GB2312" w:eastAsia="仿宋_GB2312" w:cs="仿宋_GB2312"/>
          <w:kern w:val="0"/>
          <w:sz w:val="32"/>
          <w:szCs w:val="32"/>
          <w:lang w:val="en-US" w:eastAsia="zh-CN" w:bidi="ar-SA"/>
        </w:rPr>
        <w:t>，在竞得人按约定办理完新公司注册登记手续后，再与新公司签订《国有建设用地使用权出让合同变更协议》；也可按约定直接与新公司签订《出让合同》。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jc w:val="both"/>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 xml:space="preserve">   本公告</w:t>
      </w:r>
      <w:r>
        <w:rPr>
          <w:rFonts w:hint="eastAsia" w:ascii="仿宋_GB2312" w:hAnsi="仿宋_GB2312" w:eastAsia="仿宋_GB2312" w:cs="仿宋_GB2312"/>
          <w:b w:val="0"/>
          <w:bCs w:val="0"/>
          <w:color w:val="auto"/>
          <w:sz w:val="32"/>
          <w:szCs w:val="32"/>
          <w:highlight w:val="none"/>
        </w:rPr>
        <w:t>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九、资格审查</w:t>
      </w:r>
    </w:p>
    <w:p>
      <w:pPr>
        <w:pStyle w:val="4"/>
        <w:keepNext w:val="0"/>
        <w:keepLines w:val="0"/>
        <w:pageBreakBefore w:val="0"/>
        <w:kinsoku/>
        <w:wordWrap/>
        <w:overflowPunct/>
        <w:topLinePunct w:val="0"/>
        <w:autoSpaceDE/>
        <w:autoSpaceDN/>
        <w:bidi w:val="0"/>
        <w:spacing w:line="440" w:lineRule="exact"/>
        <w:ind w:firstLine="579" w:firstLineChars="181"/>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个工作日内将竞买申请纸质材料提交至我局，由我局对竞买资格进行审查。我局将于</w:t>
      </w:r>
      <w:r>
        <w:rPr>
          <w:rFonts w:hint="eastAsia" w:ascii="仿宋_GB2312" w:hAnsi="仿宋_GB2312" w:eastAsia="仿宋_GB2312" w:cs="仿宋_GB2312"/>
          <w:b w:val="0"/>
          <w:bCs w:val="0"/>
          <w:color w:val="auto"/>
          <w:sz w:val="32"/>
          <w:szCs w:val="32"/>
          <w:highlight w:val="none"/>
          <w:u w:val="single"/>
          <w:lang w:val="en-US" w:eastAsia="zh-CN"/>
        </w:rPr>
        <w:t>2023</w:t>
      </w:r>
      <w:bookmarkStart w:id="0" w:name="_GoBack"/>
      <w:bookmarkEnd w:id="0"/>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rPr>
        <w:t xml:space="preserve">日前确定符合竞买资格的成交候选人为竞得人。 </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联合竞买协议（联合竞买的提供）；</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地块建设和使用监管协议书；</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与我局、交易中心</w:t>
      </w:r>
      <w:r>
        <w:rPr>
          <w:rFonts w:hint="eastAsia" w:ascii="仿宋_GB2312" w:hAnsi="仿宋_GB2312" w:eastAsia="仿宋_GB2312" w:cs="仿宋_GB2312"/>
          <w:b w:val="0"/>
          <w:bCs w:val="0"/>
          <w:color w:val="auto"/>
          <w:sz w:val="32"/>
          <w:szCs w:val="32"/>
          <w:highlight w:val="none"/>
        </w:rPr>
        <w:t>签订《成交确认书》，在签订《成交确认书》之日起</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u w:val="none"/>
          <w:lang w:val="en-US" w:eastAsia="zh-CN"/>
        </w:rPr>
        <w:t>个工作日</w:t>
      </w:r>
      <w:r>
        <w:rPr>
          <w:rFonts w:hint="eastAsia" w:ascii="仿宋_GB2312" w:hAnsi="仿宋_GB2312"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签订交易合同，竞得人</w:t>
      </w:r>
      <w:r>
        <w:rPr>
          <w:rFonts w:hint="eastAsia" w:ascii="仿宋_GB2312" w:hAnsi="仿宋_GB2312" w:eastAsia="仿宋_GB2312" w:cs="仿宋_GB2312"/>
          <w:b w:val="0"/>
          <w:bCs w:val="0"/>
          <w:color w:val="auto"/>
          <w:sz w:val="32"/>
          <w:szCs w:val="32"/>
          <w:highlight w:val="none"/>
          <w:shd w:val="clear" w:color="auto" w:fill="auto"/>
          <w:lang w:eastAsia="zh-CN"/>
        </w:rPr>
        <w:t>交</w:t>
      </w:r>
      <w:r>
        <w:rPr>
          <w:rFonts w:hint="eastAsia" w:ascii="仿宋_GB2312" w:hAnsi="仿宋_GB2312" w:eastAsia="仿宋_GB2312" w:cs="仿宋_GB2312"/>
          <w:b w:val="0"/>
          <w:bCs w:val="0"/>
          <w:color w:val="auto"/>
          <w:sz w:val="32"/>
          <w:szCs w:val="32"/>
          <w:highlight w:val="none"/>
          <w:shd w:val="clear" w:color="auto" w:fill="auto"/>
        </w:rPr>
        <w:t>纳</w:t>
      </w:r>
      <w:r>
        <w:rPr>
          <w:rFonts w:hint="eastAsia" w:ascii="仿宋_GB2312" w:hAnsi="仿宋_GB2312" w:eastAsia="仿宋_GB2312" w:cs="仿宋_GB2312"/>
          <w:b w:val="0"/>
          <w:bCs w:val="0"/>
          <w:color w:val="auto"/>
          <w:sz w:val="32"/>
          <w:szCs w:val="32"/>
          <w:highlight w:val="none"/>
        </w:rPr>
        <w:t>的竞买保证金按成交价的</w:t>
      </w:r>
      <w:r>
        <w:rPr>
          <w:rFonts w:hint="eastAsia" w:ascii="仿宋_GB2312" w:hAnsi="仿宋_GB2312" w:eastAsia="仿宋_GB2312" w:cs="仿宋_GB2312"/>
          <w:b w:val="0"/>
          <w:bCs w:val="0"/>
          <w:color w:val="auto"/>
          <w:sz w:val="32"/>
          <w:szCs w:val="32"/>
          <w:highlight w:val="none"/>
          <w:u w:val="single"/>
          <w:lang w:val="en-US" w:eastAsia="zh-CN"/>
        </w:rPr>
        <w:t>20</w:t>
      </w:r>
      <w:r>
        <w:rPr>
          <w:rFonts w:hint="eastAsia" w:ascii="仿宋_GB2312" w:hAnsi="仿宋_GB2312"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土地成交价款须以人民币支付,竞得人在签订出让合同之日起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无正当理由逾期或拒绝签订交易合同的。</w:t>
      </w:r>
    </w:p>
    <w:p>
      <w:pPr>
        <w:pStyle w:val="4"/>
        <w:keepNext w:val="0"/>
        <w:keepLines w:val="0"/>
        <w:pageBreakBefore w:val="0"/>
        <w:kinsoku/>
        <w:wordWrap/>
        <w:overflowPunct/>
        <w:topLinePunct w:val="0"/>
        <w:autoSpaceDE/>
        <w:autoSpaceDN/>
        <w:bidi w:val="0"/>
        <w:spacing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竞得人在付清地价款后</w:t>
      </w:r>
      <w:r>
        <w:rPr>
          <w:rFonts w:hint="eastAsia" w:ascii="仿宋_GB2312" w:hAnsi="仿宋_GB2312" w:eastAsia="仿宋_GB2312" w:cs="仿宋_GB2312"/>
          <w:b w:val="0"/>
          <w:bCs w:val="0"/>
          <w:color w:val="auto"/>
          <w:sz w:val="32"/>
          <w:szCs w:val="32"/>
          <w:highlight w:val="none"/>
          <w:lang w:val="en-US" w:eastAsia="zh-CN"/>
        </w:rPr>
        <w:t>30日</w:t>
      </w:r>
      <w:r>
        <w:rPr>
          <w:rFonts w:hint="eastAsia" w:ascii="仿宋_GB2312" w:hAnsi="仿宋_GB2312" w:eastAsia="仿宋_GB2312" w:cs="仿宋_GB2312"/>
          <w:b w:val="0"/>
          <w:bCs w:val="0"/>
          <w:color w:val="auto"/>
          <w:sz w:val="32"/>
          <w:szCs w:val="32"/>
          <w:highlight w:val="none"/>
        </w:rPr>
        <w:t>内办理交地手续，凭《</w:t>
      </w:r>
      <w:r>
        <w:rPr>
          <w:rFonts w:hint="eastAsia" w:ascii="仿宋_GB2312" w:hAnsi="仿宋_GB2312" w:eastAsia="仿宋_GB2312" w:cs="仿宋_GB2312"/>
          <w:b w:val="0"/>
          <w:bCs w:val="0"/>
          <w:color w:val="auto"/>
          <w:sz w:val="32"/>
          <w:szCs w:val="32"/>
          <w:highlight w:val="none"/>
          <w:lang w:eastAsia="zh-CN"/>
        </w:rPr>
        <w:t>成交</w:t>
      </w:r>
      <w:r>
        <w:rPr>
          <w:rFonts w:hint="eastAsia" w:ascii="仿宋_GB2312" w:hAnsi="仿宋_GB2312"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（五）土地开发及使用规定</w:t>
      </w:r>
    </w:p>
    <w:p>
      <w:pPr>
        <w:pStyle w:val="4"/>
        <w:keepNext w:val="0"/>
        <w:keepLines w:val="0"/>
        <w:pageBreakBefore w:val="0"/>
        <w:kinsoku/>
        <w:wordWrap/>
        <w:overflowPunct/>
        <w:topLinePunct w:val="0"/>
        <w:autoSpaceDE/>
        <w:autoSpaceDN/>
        <w:bidi w:val="0"/>
        <w:spacing w:line="440" w:lineRule="exact"/>
        <w:ind w:left="0" w:lef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LM2022-2</w:t>
      </w:r>
      <w:r>
        <w:rPr>
          <w:rFonts w:hint="eastAsia"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号、LM2022-2</w:t>
      </w:r>
      <w:r>
        <w:rPr>
          <w:rFonts w:hint="eastAsia"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号</w:t>
      </w:r>
      <w:r>
        <w:rPr>
          <w:rFonts w:hint="eastAsia" w:ascii="Times New Roman" w:hAnsi="Times New Roman" w:eastAsia="方正仿宋_GBK" w:cs="Times New Roman"/>
          <w:color w:val="auto"/>
          <w:kern w:val="0"/>
          <w:sz w:val="32"/>
          <w:szCs w:val="32"/>
          <w:lang w:val="en-US" w:eastAsia="zh-CN" w:bidi="ar-SA"/>
        </w:rPr>
        <w:t>地块所经营的产业类型为砼结构件制造类产业项目；投资强度需不低于人民币4500元/平方米，建成投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pStyle w:val="2"/>
        <w:keepNext w:val="0"/>
        <w:keepLines w:val="0"/>
        <w:pageBreakBefore w:val="0"/>
        <w:kinsoku/>
        <w:wordWrap/>
        <w:overflowPunct/>
        <w:topLinePunct w:val="0"/>
        <w:bidi w:val="0"/>
        <w:spacing w:line="440" w:lineRule="exact"/>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w:t>
      </w:r>
      <w:r>
        <w:rPr>
          <w:rFonts w:hint="eastAsia" w:ascii="Times New Roman" w:hAnsi="Times New Roman" w:eastAsia="方正仿宋_GBK" w:cs="Times New Roman"/>
          <w:color w:val="auto"/>
          <w:sz w:val="32"/>
          <w:szCs w:val="32"/>
          <w:lang w:val="en-US" w:eastAsia="zh-CN"/>
        </w:rPr>
        <w:t>LM2022-28号、LM2022-29号、LM2022-30号</w:t>
      </w:r>
      <w:r>
        <w:rPr>
          <w:rFonts w:hint="eastAsia" w:ascii="Times New Roman" w:hAnsi="Times New Roman" w:eastAsia="方正仿宋_GBK" w:cs="Times New Roman"/>
          <w:color w:val="auto"/>
          <w:kern w:val="2"/>
          <w:sz w:val="32"/>
          <w:szCs w:val="32"/>
          <w:lang w:val="en-US" w:eastAsia="zh-CN" w:bidi="ar-SA"/>
        </w:rPr>
        <w:t>地块所经营的产业类型为塑料薄膜制造项目；投资强度需不低于人民币4500元/平方米，建成投产后单位产值不低于人民币9000元/平方米/年、单位税收贡献不低于人民币450元/平方米/年。竞得土地后3个工作日内（签订《成交确认书》前）与惠州产业转移工业园管委会签订《地块建设和使用监管协议书》，由惠州产业转移工业园管委会对项目用地实施监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SA"/>
        </w:rPr>
      </w:pPr>
      <w:r>
        <w:rPr>
          <w:rFonts w:hint="eastAsia" w:ascii="仿宋_GB2312" w:hAnsi="仿宋_GB2312" w:eastAsia="仿宋_GB2312" w:cs="仿宋_GB2312"/>
          <w:b w:val="0"/>
          <w:bCs w:val="0"/>
          <w:color w:val="auto"/>
          <w:kern w:val="0"/>
          <w:sz w:val="32"/>
          <w:szCs w:val="32"/>
          <w:highlight w:val="none"/>
          <w:lang w:val="en-US" w:eastAsia="zh-CN" w:bidi="ar-SA"/>
        </w:rPr>
        <w:t>3.竞得人在签订《出让合同》前，须向县自然资源局提交《产业发展承诺书》作为《出让合同》的附件。</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出让方：</w:t>
      </w:r>
      <w:r>
        <w:rPr>
          <w:rFonts w:hint="eastAsia" w:ascii="仿宋_GB2312" w:hAnsi="仿宋_GB2312"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联系电话：</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0752-7783681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交易机构：</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联系人：陈先生</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谢小姐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联系电话：0752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ascii="仿宋_GB2312" w:hAnsi="仿宋_GB2312" w:eastAsia="仿宋_GB2312" w:cs="仿宋_GB2312"/>
          <w:i w:val="0"/>
          <w:caps w:val="0"/>
          <w:color w:val="auto"/>
          <w:spacing w:val="0"/>
          <w:sz w:val="32"/>
          <w:szCs w:val="32"/>
          <w:highlight w:val="none"/>
          <w:shd w:val="clear" w:color="auto" w:fill="FFFFFF"/>
        </w:rPr>
        <w:t>7988083</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w:t>
      </w:r>
      <w:r>
        <w:rPr>
          <w:rFonts w:hint="eastAsia" w:ascii="仿宋_GB2312" w:hAnsi="仿宋_GB2312" w:eastAsia="仿宋_GB2312" w:cs="仿宋_GB2312"/>
          <w:b w:val="0"/>
          <w:bCs w:val="0"/>
          <w:color w:val="auto"/>
          <w:sz w:val="32"/>
          <w:szCs w:val="32"/>
          <w:highlight w:val="none"/>
          <w:lang w:val="en-US" w:eastAsia="zh-CN"/>
        </w:rPr>
        <w:t>报刊</w:t>
      </w:r>
      <w:r>
        <w:rPr>
          <w:rFonts w:hint="eastAsia" w:ascii="仿宋_GB2312" w:hAnsi="仿宋_GB2312"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广东</w:t>
      </w:r>
      <w:r>
        <w:rPr>
          <w:rFonts w:hint="eastAsia" w:ascii="仿宋_GB2312" w:hAnsi="仿宋_GB2312" w:eastAsia="仿宋_GB2312" w:cs="仿宋_GB2312"/>
          <w:i w:val="0"/>
          <w:caps w:val="0"/>
          <w:color w:val="auto"/>
          <w:spacing w:val="0"/>
          <w:sz w:val="32"/>
          <w:szCs w:val="32"/>
          <w:highlight w:val="none"/>
          <w:shd w:val="clear" w:color="auto" w:fill="FFFFFF"/>
        </w:rPr>
        <w:t>省公共资源交易平台</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https://ygp.gdzwfw.gov.cn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firstLine="3840" w:firstLineChars="1200"/>
        <w:jc w:val="right"/>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龙门县</w:t>
      </w: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none"/>
          <w:lang w:val="en-US" w:eastAsia="zh-CN"/>
        </w:rPr>
        <w:t>24</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jc w:val="right"/>
        <w:textAlignment w:val="auto"/>
        <w:rPr>
          <w:rFonts w:hint="eastAsia" w:ascii="仿宋_GB2312" w:hAnsi="仿宋_GB2312" w:eastAsia="仿宋_GB2312" w:cs="仿宋_GB2312"/>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4"/>
        <w:keepNext w:val="0"/>
        <w:keepLines w:val="0"/>
        <w:pageBreakBefore w:val="0"/>
        <w:kinsoku/>
        <w:wordWrap/>
        <w:overflowPunct/>
        <w:topLinePunct w:val="0"/>
        <w:bidi w:val="0"/>
        <w:spacing w:line="440" w:lineRule="exact"/>
        <w:ind w:left="0" w:leftChars="0" w:firstLine="0" w:firstLineChars="0"/>
        <w:jc w:val="both"/>
        <w:rPr>
          <w:color w:val="auto"/>
          <w:highlight w:val="none"/>
        </w:rPr>
      </w:pPr>
    </w:p>
    <w:p>
      <w:pPr>
        <w:keepNext w:val="0"/>
        <w:keepLines w:val="0"/>
        <w:pageBreakBefore w:val="0"/>
        <w:kinsoku/>
        <w:wordWrap/>
        <w:overflowPunct/>
        <w:topLinePunct w:val="0"/>
        <w:bidi w:val="0"/>
        <w:spacing w:line="440" w:lineRule="exact"/>
        <w:jc w:val="both"/>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keepNext w:val="0"/>
        <w:keepLines w:val="0"/>
        <w:pageBreakBefore w:val="0"/>
        <w:tabs>
          <w:tab w:val="left" w:pos="9720"/>
        </w:tabs>
        <w:kinsoku/>
        <w:wordWrap/>
        <w:overflowPunct/>
        <w:topLinePunct w:val="0"/>
        <w:bidi w:val="0"/>
        <w:spacing w:line="440" w:lineRule="exact"/>
        <w:jc w:val="center"/>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网上挂牌出让地块基本情况及规划建设指标</w:t>
      </w:r>
    </w:p>
    <w:tbl>
      <w:tblPr>
        <w:tblStyle w:val="9"/>
        <w:tblpPr w:leftFromText="180" w:rightFromText="180" w:vertAnchor="text" w:tblpXSpec="center" w:tblpY="1"/>
        <w:tblOverlap w:val="never"/>
        <w:tblW w:w="14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425"/>
        <w:gridCol w:w="535"/>
        <w:gridCol w:w="603"/>
        <w:gridCol w:w="719"/>
        <w:gridCol w:w="705"/>
        <w:gridCol w:w="866"/>
        <w:gridCol w:w="1219"/>
        <w:gridCol w:w="1218"/>
        <w:gridCol w:w="1125"/>
        <w:gridCol w:w="1365"/>
        <w:gridCol w:w="1395"/>
        <w:gridCol w:w="1080"/>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46"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挂牌地块编号</w:t>
            </w:r>
          </w:p>
        </w:tc>
        <w:tc>
          <w:tcPr>
            <w:tcW w:w="1425"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位置</w:t>
            </w:r>
          </w:p>
        </w:tc>
        <w:tc>
          <w:tcPr>
            <w:tcW w:w="535"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用地编号</w:t>
            </w:r>
          </w:p>
        </w:tc>
        <w:tc>
          <w:tcPr>
            <w:tcW w:w="603"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用途</w:t>
            </w:r>
          </w:p>
        </w:tc>
        <w:tc>
          <w:tcPr>
            <w:tcW w:w="719"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hint="eastAsia" w:ascii="仿宋_GB2312" w:hAnsi="宋体" w:eastAsia="仿宋_GB2312"/>
                <w:b w:val="0"/>
                <w:bCs w:val="0"/>
                <w:color w:val="auto"/>
                <w:sz w:val="24"/>
                <w:szCs w:val="24"/>
                <w:highlight w:val="none"/>
                <w:lang w:val="en-US" w:eastAsia="zh-CN"/>
              </w:rPr>
            </w:pPr>
            <w:r>
              <w:rPr>
                <w:rFonts w:hint="eastAsia" w:ascii="仿宋_GB2312" w:hAnsi="宋体" w:eastAsia="仿宋_GB2312"/>
                <w:b w:val="0"/>
                <w:bCs w:val="0"/>
                <w:color w:val="auto"/>
                <w:sz w:val="24"/>
                <w:szCs w:val="24"/>
                <w:highlight w:val="none"/>
                <w:lang w:val="en-US" w:eastAsia="zh-CN"/>
              </w:rPr>
              <w:t>起始价（万元）</w:t>
            </w:r>
          </w:p>
        </w:tc>
        <w:tc>
          <w:tcPr>
            <w:tcW w:w="705"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hint="eastAsia" w:ascii="仿宋_GB2312" w:hAnsi="宋体" w:eastAsia="仿宋_GB2312"/>
                <w:b w:val="0"/>
                <w:bCs w:val="0"/>
                <w:color w:val="auto"/>
                <w:sz w:val="24"/>
                <w:szCs w:val="24"/>
                <w:highlight w:val="none"/>
                <w:lang w:val="en-US" w:eastAsia="zh-CN"/>
              </w:rPr>
            </w:pPr>
            <w:r>
              <w:rPr>
                <w:rFonts w:hint="eastAsia" w:ascii="仿宋_GB2312" w:hAnsi="宋体" w:eastAsia="仿宋_GB2312"/>
                <w:b w:val="0"/>
                <w:bCs w:val="0"/>
                <w:color w:val="auto"/>
                <w:sz w:val="24"/>
                <w:szCs w:val="24"/>
                <w:highlight w:val="none"/>
                <w:lang w:val="en-US" w:eastAsia="zh-CN"/>
              </w:rPr>
              <w:t>加价幅度（万元）</w:t>
            </w:r>
          </w:p>
        </w:tc>
        <w:tc>
          <w:tcPr>
            <w:tcW w:w="866"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hint="eastAsia" w:ascii="仿宋_GB2312" w:hAnsi="宋体" w:eastAsia="仿宋_GB2312"/>
                <w:b w:val="0"/>
                <w:bCs w:val="0"/>
                <w:color w:val="auto"/>
                <w:sz w:val="24"/>
                <w:szCs w:val="24"/>
                <w:highlight w:val="none"/>
                <w:lang w:val="en-US" w:eastAsia="zh-CN"/>
              </w:rPr>
            </w:pPr>
            <w:r>
              <w:rPr>
                <w:rFonts w:hint="eastAsia" w:ascii="仿宋_GB2312" w:hAnsi="宋体" w:eastAsia="仿宋_GB2312"/>
                <w:b w:val="0"/>
                <w:bCs w:val="0"/>
                <w:color w:val="auto"/>
                <w:sz w:val="24"/>
                <w:szCs w:val="24"/>
                <w:highlight w:val="none"/>
                <w:lang w:val="en-US" w:eastAsia="zh-CN"/>
              </w:rPr>
              <w:t>保证金（万元）</w:t>
            </w:r>
          </w:p>
        </w:tc>
        <w:tc>
          <w:tcPr>
            <w:tcW w:w="8226" w:type="dxa"/>
            <w:gridSpan w:val="7"/>
            <w:vAlign w:val="center"/>
          </w:tcPr>
          <w:p>
            <w:pPr>
              <w:keepNext w:val="0"/>
              <w:keepLines w:val="0"/>
              <w:pageBreakBefore w:val="0"/>
              <w:kinsoku/>
              <w:wordWrap/>
              <w:overflowPunct/>
              <w:topLinePunct w:val="0"/>
              <w:bidi w:val="0"/>
              <w:adjustRightInd w:val="0"/>
              <w:snapToGrid w:val="0"/>
              <w:spacing w:line="440" w:lineRule="exact"/>
              <w:ind w:left="53" w:leftChars="25" w:firstLine="3381" w:firstLineChars="1409"/>
              <w:jc w:val="center"/>
              <w:rPr>
                <w:rFonts w:hint="default"/>
                <w:lang w:val="en-US" w:eastAsia="zh-CN"/>
              </w:rPr>
            </w:pPr>
            <w:r>
              <w:rPr>
                <w:rFonts w:hint="eastAsia" w:ascii="仿宋_GB2312" w:hAnsi="宋体" w:eastAsia="仿宋_GB2312"/>
                <w:b w:val="0"/>
                <w:bCs w:val="0"/>
                <w:color w:val="auto"/>
                <w:sz w:val="24"/>
                <w:szCs w:val="24"/>
                <w:highlight w:val="none"/>
              </w:rPr>
              <w:t>规划指标要求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246"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425"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535"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603"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719"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705"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866"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219" w:type="dxa"/>
            <w:vAlign w:val="center"/>
          </w:tcPr>
          <w:p>
            <w:pPr>
              <w:keepNext w:val="0"/>
              <w:keepLines w:val="0"/>
              <w:pageBreakBefore w:val="0"/>
              <w:kinsoku/>
              <w:wordWrap/>
              <w:overflowPunct/>
              <w:topLinePunct w:val="0"/>
              <w:bidi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计算指标用地面积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1218"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宗地使用权面积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1125"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建筑密度</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w:t>
            </w:r>
            <w:r>
              <w:rPr>
                <w:rFonts w:hint="eastAsia" w:ascii="仿宋_GB2312" w:hAnsi="宋体" w:eastAsia="仿宋_GB2312"/>
                <w:b w:val="0"/>
                <w:bCs w:val="0"/>
                <w:color w:val="auto"/>
                <w:sz w:val="24"/>
                <w:szCs w:val="24"/>
                <w:highlight w:val="none"/>
                <w:lang w:eastAsia="zh-CN"/>
              </w:rPr>
              <w:t>）</w:t>
            </w:r>
          </w:p>
        </w:tc>
        <w:tc>
          <w:tcPr>
            <w:tcW w:w="1365"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容积率</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w:t>
            </w:r>
            <w:r>
              <w:rPr>
                <w:rFonts w:hint="eastAsia" w:ascii="仿宋_GB2312" w:hAnsi="宋体" w:eastAsia="仿宋_GB2312"/>
                <w:b w:val="0"/>
                <w:bCs w:val="0"/>
                <w:color w:val="auto"/>
                <w:sz w:val="24"/>
                <w:szCs w:val="24"/>
                <w:highlight w:val="none"/>
                <w:lang w:eastAsia="zh-CN"/>
              </w:rPr>
              <w:t>）</w:t>
            </w:r>
          </w:p>
        </w:tc>
        <w:tc>
          <w:tcPr>
            <w:tcW w:w="1395" w:type="dxa"/>
            <w:vAlign w:val="center"/>
          </w:tcPr>
          <w:p>
            <w:pPr>
              <w:keepNext w:val="0"/>
              <w:keepLines w:val="0"/>
              <w:pageBreakBefore w:val="0"/>
              <w:kinsoku/>
              <w:wordWrap/>
              <w:overflowPunct/>
              <w:topLinePunct w:val="0"/>
              <w:bidi w:val="0"/>
              <w:spacing w:line="440" w:lineRule="exact"/>
              <w:ind w:left="67" w:right="-53" w:rightChars="-25" w:hanging="50" w:hangingChars="21"/>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计容积率</w:t>
            </w:r>
            <w:r>
              <w:rPr>
                <w:rFonts w:hint="eastAsia" w:ascii="仿宋_GB2312" w:hAnsi="宋体" w:eastAsia="仿宋_GB2312"/>
                <w:b w:val="0"/>
                <w:bCs w:val="0"/>
                <w:color w:val="auto"/>
                <w:sz w:val="24"/>
                <w:szCs w:val="24"/>
                <w:highlight w:val="none"/>
                <w:lang w:val="en-US" w:eastAsia="zh-CN"/>
              </w:rPr>
              <w:t xml:space="preserve"> </w:t>
            </w:r>
            <w:r>
              <w:rPr>
                <w:rFonts w:hint="eastAsia" w:ascii="仿宋_GB2312" w:hAnsi="宋体" w:eastAsia="仿宋_GB2312"/>
                <w:b w:val="0"/>
                <w:bCs w:val="0"/>
                <w:color w:val="auto"/>
                <w:sz w:val="24"/>
                <w:szCs w:val="24"/>
                <w:highlight w:val="none"/>
              </w:rPr>
              <w:t>建筑面积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平方米</w:t>
            </w:r>
            <w:r>
              <w:rPr>
                <w:rFonts w:hint="eastAsia" w:ascii="仿宋_GB2312" w:hAnsi="宋体" w:eastAsia="仿宋_GB2312"/>
                <w:b w:val="0"/>
                <w:bCs w:val="0"/>
                <w:color w:val="auto"/>
                <w:sz w:val="24"/>
                <w:szCs w:val="24"/>
                <w:highlight w:val="none"/>
                <w:lang w:eastAsia="zh-CN"/>
              </w:rPr>
              <w:t>）</w:t>
            </w:r>
          </w:p>
        </w:tc>
        <w:tc>
          <w:tcPr>
            <w:tcW w:w="108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绿地率</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w:t>
            </w:r>
            <w:r>
              <w:rPr>
                <w:rFonts w:hint="eastAsia" w:ascii="仿宋_GB2312" w:hAnsi="宋体" w:eastAsia="仿宋_GB2312"/>
                <w:b w:val="0"/>
                <w:bCs w:val="0"/>
                <w:color w:val="auto"/>
                <w:sz w:val="24"/>
                <w:szCs w:val="24"/>
                <w:highlight w:val="none"/>
                <w:lang w:eastAsia="zh-CN"/>
              </w:rPr>
              <w:t>）</w:t>
            </w:r>
          </w:p>
        </w:tc>
        <w:tc>
          <w:tcPr>
            <w:tcW w:w="824"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default"/>
                <w:lang w:val="en-US" w:eastAsia="zh-CN"/>
              </w:rPr>
            </w:pPr>
            <w:r>
              <w:rPr>
                <w:rFonts w:hint="eastAsia"/>
                <w:lang w:val="en-US" w:eastAsia="zh-CN"/>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124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LM2022-26</w:t>
            </w:r>
          </w:p>
        </w:tc>
        <w:tc>
          <w:tcPr>
            <w:tcW w:w="14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Times New Roman"/>
                <w:b w:val="0"/>
                <w:bCs w:val="0"/>
                <w:color w:val="auto"/>
                <w:sz w:val="24"/>
                <w:szCs w:val="24"/>
                <w:highlight w:val="none"/>
                <w:lang w:val="en-US"/>
              </w:rPr>
            </w:pPr>
            <w:r>
              <w:rPr>
                <w:rFonts w:hint="eastAsia" w:ascii="仿宋_GB2312" w:hAnsi="宋体" w:eastAsia="仿宋_GB2312" w:cs="Times New Roman"/>
                <w:b w:val="0"/>
                <w:bCs w:val="0"/>
                <w:color w:val="auto"/>
                <w:sz w:val="24"/>
                <w:szCs w:val="24"/>
                <w:highlight w:val="none"/>
                <w:lang w:val="en-US" w:eastAsia="zh-CN"/>
              </w:rPr>
              <w:t>惠州产业转移工业园新材料片区</w:t>
            </w:r>
          </w:p>
        </w:tc>
        <w:tc>
          <w:tcPr>
            <w:tcW w:w="53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rPr>
            </w:pPr>
            <w:r>
              <w:rPr>
                <w:rFonts w:hint="eastAsia" w:ascii="仿宋_GB2312" w:hAnsi="宋体" w:eastAsia="仿宋_GB2312" w:cs="仿宋_GB2312"/>
                <w:b w:val="0"/>
                <w:bCs w:val="0"/>
                <w:color w:val="auto"/>
                <w:sz w:val="24"/>
                <w:szCs w:val="24"/>
                <w:highlight w:val="none"/>
                <w:lang w:val="en-US" w:eastAsia="zh-CN"/>
              </w:rPr>
              <w:t>LM-CZ-PL-A04-04-02</w:t>
            </w:r>
          </w:p>
        </w:tc>
        <w:tc>
          <w:tcPr>
            <w:tcW w:w="603"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719"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646</w:t>
            </w:r>
          </w:p>
        </w:tc>
        <w:tc>
          <w:tcPr>
            <w:tcW w:w="705"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20</w:t>
            </w:r>
          </w:p>
        </w:tc>
        <w:tc>
          <w:tcPr>
            <w:tcW w:w="86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323</w:t>
            </w:r>
          </w:p>
        </w:tc>
        <w:tc>
          <w:tcPr>
            <w:tcW w:w="121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1.589733</w:t>
            </w:r>
          </w:p>
        </w:tc>
        <w:tc>
          <w:tcPr>
            <w:tcW w:w="1218"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1.589733</w:t>
            </w:r>
          </w:p>
        </w:tc>
        <w:tc>
          <w:tcPr>
            <w:tcW w:w="11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≥30</w:t>
            </w:r>
          </w:p>
        </w:tc>
        <w:tc>
          <w:tcPr>
            <w:tcW w:w="136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1.2≤far≤3.5</w:t>
            </w:r>
          </w:p>
        </w:tc>
        <w:tc>
          <w:tcPr>
            <w:tcW w:w="139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19076.8-</w:t>
            </w:r>
          </w:p>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55640.65</w:t>
            </w:r>
          </w:p>
        </w:tc>
        <w:tc>
          <w:tcPr>
            <w:tcW w:w="108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15-20</w:t>
            </w:r>
          </w:p>
        </w:tc>
        <w:tc>
          <w:tcPr>
            <w:tcW w:w="82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24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LM2022-27</w:t>
            </w:r>
          </w:p>
        </w:tc>
        <w:tc>
          <w:tcPr>
            <w:tcW w:w="14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Times New Roman"/>
                <w:b w:val="0"/>
                <w:bCs w:val="0"/>
                <w:color w:val="auto"/>
                <w:sz w:val="24"/>
                <w:szCs w:val="24"/>
                <w:highlight w:val="none"/>
                <w:lang w:val="en-US" w:eastAsia="zh-CN"/>
              </w:rPr>
            </w:pPr>
            <w:r>
              <w:rPr>
                <w:rFonts w:hint="eastAsia" w:ascii="仿宋_GB2312" w:hAnsi="宋体" w:eastAsia="仿宋_GB2312" w:cs="Times New Roman"/>
                <w:b w:val="0"/>
                <w:bCs w:val="0"/>
                <w:color w:val="auto"/>
                <w:sz w:val="24"/>
                <w:szCs w:val="24"/>
                <w:highlight w:val="none"/>
                <w:lang w:val="en-US" w:eastAsia="zh-CN"/>
              </w:rPr>
              <w:t>惠州产业转移工业园新材料片区</w:t>
            </w:r>
          </w:p>
        </w:tc>
        <w:tc>
          <w:tcPr>
            <w:tcW w:w="53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LM-CZ-PL-A04-04-03</w:t>
            </w:r>
          </w:p>
        </w:tc>
        <w:tc>
          <w:tcPr>
            <w:tcW w:w="603"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719"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1368</w:t>
            </w:r>
          </w:p>
        </w:tc>
        <w:tc>
          <w:tcPr>
            <w:tcW w:w="705" w:type="dxa"/>
            <w:tcMar>
              <w:left w:w="0" w:type="dxa"/>
              <w:right w:w="0" w:type="dxa"/>
            </w:tcMar>
            <w:vAlign w:val="center"/>
          </w:tcPr>
          <w:p>
            <w:pPr>
              <w:keepNext w:val="0"/>
              <w:keepLines w:val="0"/>
              <w:pageBreakBefore w:val="0"/>
              <w:widowControl/>
              <w:suppressLineNumbers w:val="0"/>
              <w:tabs>
                <w:tab w:val="left" w:pos="498"/>
              </w:tabs>
              <w:kinsoku/>
              <w:wordWrap/>
              <w:overflowPunct/>
              <w:topLinePunct w:val="0"/>
              <w:bidi w:val="0"/>
              <w:spacing w:line="440" w:lineRule="exact"/>
              <w:ind w:firstLine="240" w:firstLineChars="10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40</w:t>
            </w:r>
          </w:p>
        </w:tc>
        <w:tc>
          <w:tcPr>
            <w:tcW w:w="86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684</w:t>
            </w:r>
          </w:p>
        </w:tc>
        <w:tc>
          <w:tcPr>
            <w:tcW w:w="121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3.36311</w:t>
            </w:r>
          </w:p>
        </w:tc>
        <w:tc>
          <w:tcPr>
            <w:tcW w:w="1218"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3.36311</w:t>
            </w:r>
          </w:p>
        </w:tc>
        <w:tc>
          <w:tcPr>
            <w:tcW w:w="11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≥30</w:t>
            </w:r>
          </w:p>
        </w:tc>
        <w:tc>
          <w:tcPr>
            <w:tcW w:w="136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1.2≤far≤3.5</w:t>
            </w:r>
          </w:p>
        </w:tc>
        <w:tc>
          <w:tcPr>
            <w:tcW w:w="139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40357.32-</w:t>
            </w:r>
          </w:p>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117708.85</w:t>
            </w:r>
          </w:p>
        </w:tc>
        <w:tc>
          <w:tcPr>
            <w:tcW w:w="108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15-20</w:t>
            </w:r>
          </w:p>
        </w:tc>
        <w:tc>
          <w:tcPr>
            <w:tcW w:w="82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24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LM2022-28</w:t>
            </w:r>
          </w:p>
        </w:tc>
        <w:tc>
          <w:tcPr>
            <w:tcW w:w="14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Times New Roman"/>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惠州产业转移工业园南片区</w:t>
            </w:r>
          </w:p>
        </w:tc>
        <w:tc>
          <w:tcPr>
            <w:tcW w:w="53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PL-01-0701-05</w:t>
            </w:r>
          </w:p>
        </w:tc>
        <w:tc>
          <w:tcPr>
            <w:tcW w:w="603"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719"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159</w:t>
            </w:r>
          </w:p>
        </w:tc>
        <w:tc>
          <w:tcPr>
            <w:tcW w:w="705"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86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79.5</w:t>
            </w:r>
          </w:p>
        </w:tc>
        <w:tc>
          <w:tcPr>
            <w:tcW w:w="121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0.38022</w:t>
            </w:r>
          </w:p>
        </w:tc>
        <w:tc>
          <w:tcPr>
            <w:tcW w:w="1218"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0.38022</w:t>
            </w:r>
          </w:p>
        </w:tc>
        <w:tc>
          <w:tcPr>
            <w:tcW w:w="11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≥30</w:t>
            </w:r>
          </w:p>
        </w:tc>
        <w:tc>
          <w:tcPr>
            <w:tcW w:w="136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1.2≤far≤2.0</w:t>
            </w:r>
          </w:p>
        </w:tc>
        <w:tc>
          <w:tcPr>
            <w:tcW w:w="139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4562.64-7604.4</w:t>
            </w:r>
          </w:p>
        </w:tc>
        <w:tc>
          <w:tcPr>
            <w:tcW w:w="108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15-20</w:t>
            </w:r>
          </w:p>
        </w:tc>
        <w:tc>
          <w:tcPr>
            <w:tcW w:w="82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24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LM2022-29</w:t>
            </w:r>
          </w:p>
        </w:tc>
        <w:tc>
          <w:tcPr>
            <w:tcW w:w="14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惠州产业转移工业园南片区</w:t>
            </w:r>
          </w:p>
        </w:tc>
        <w:tc>
          <w:tcPr>
            <w:tcW w:w="53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rPr>
            </w:pPr>
            <w:r>
              <w:rPr>
                <w:rFonts w:hint="eastAsia" w:ascii="仿宋_GB2312" w:hAnsi="宋体" w:eastAsia="仿宋_GB2312" w:cs="仿宋_GB2312"/>
                <w:b w:val="0"/>
                <w:bCs w:val="0"/>
                <w:color w:val="auto"/>
                <w:sz w:val="24"/>
                <w:szCs w:val="24"/>
                <w:highlight w:val="none"/>
                <w:lang w:val="en-US" w:eastAsia="zh-CN"/>
              </w:rPr>
              <w:t>PL-01-0701-04</w:t>
            </w:r>
          </w:p>
        </w:tc>
        <w:tc>
          <w:tcPr>
            <w:tcW w:w="603"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719"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184</w:t>
            </w:r>
          </w:p>
        </w:tc>
        <w:tc>
          <w:tcPr>
            <w:tcW w:w="705"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p>
        </w:tc>
        <w:tc>
          <w:tcPr>
            <w:tcW w:w="86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92</w:t>
            </w:r>
          </w:p>
        </w:tc>
        <w:tc>
          <w:tcPr>
            <w:tcW w:w="121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0.427413</w:t>
            </w:r>
          </w:p>
        </w:tc>
        <w:tc>
          <w:tcPr>
            <w:tcW w:w="1218"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0.427413</w:t>
            </w:r>
          </w:p>
        </w:tc>
        <w:tc>
          <w:tcPr>
            <w:tcW w:w="11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≥30</w:t>
            </w:r>
          </w:p>
        </w:tc>
        <w:tc>
          <w:tcPr>
            <w:tcW w:w="136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1.2≤far≤2.0</w:t>
            </w:r>
          </w:p>
        </w:tc>
        <w:tc>
          <w:tcPr>
            <w:tcW w:w="139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5128.96-8548.26</w:t>
            </w:r>
          </w:p>
        </w:tc>
        <w:tc>
          <w:tcPr>
            <w:tcW w:w="108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15-20</w:t>
            </w:r>
          </w:p>
        </w:tc>
        <w:tc>
          <w:tcPr>
            <w:tcW w:w="82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24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bCs/>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LM2022-30</w:t>
            </w:r>
          </w:p>
        </w:tc>
        <w:tc>
          <w:tcPr>
            <w:tcW w:w="14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惠州产业转移工业园北片区</w:t>
            </w:r>
          </w:p>
        </w:tc>
        <w:tc>
          <w:tcPr>
            <w:tcW w:w="53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JS5-18-04</w:t>
            </w:r>
          </w:p>
        </w:tc>
        <w:tc>
          <w:tcPr>
            <w:tcW w:w="603"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工业用地</w:t>
            </w:r>
          </w:p>
        </w:tc>
        <w:tc>
          <w:tcPr>
            <w:tcW w:w="719"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958</w:t>
            </w:r>
          </w:p>
        </w:tc>
        <w:tc>
          <w:tcPr>
            <w:tcW w:w="705"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30</w:t>
            </w:r>
          </w:p>
        </w:tc>
        <w:tc>
          <w:tcPr>
            <w:tcW w:w="866"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479</w:t>
            </w:r>
          </w:p>
        </w:tc>
        <w:tc>
          <w:tcPr>
            <w:tcW w:w="121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1.995509</w:t>
            </w:r>
          </w:p>
        </w:tc>
        <w:tc>
          <w:tcPr>
            <w:tcW w:w="1218"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1.995509</w:t>
            </w:r>
          </w:p>
        </w:tc>
        <w:tc>
          <w:tcPr>
            <w:tcW w:w="112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30-45</w:t>
            </w:r>
          </w:p>
        </w:tc>
        <w:tc>
          <w:tcPr>
            <w:tcW w:w="136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1.7≤far≤2.5</w:t>
            </w:r>
          </w:p>
        </w:tc>
        <w:tc>
          <w:tcPr>
            <w:tcW w:w="1395"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33923.66-49887.72</w:t>
            </w:r>
          </w:p>
        </w:tc>
        <w:tc>
          <w:tcPr>
            <w:tcW w:w="108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15-20</w:t>
            </w:r>
          </w:p>
        </w:tc>
        <w:tc>
          <w:tcPr>
            <w:tcW w:w="82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50</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jc w:val="both"/>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YWJiMGZlNTA2N2E2N2RiYzhkNmI0OTI5OTYwMjE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E50B50"/>
    <w:rsid w:val="039F6E44"/>
    <w:rsid w:val="04AA17FE"/>
    <w:rsid w:val="067362EB"/>
    <w:rsid w:val="09402008"/>
    <w:rsid w:val="0AE876EE"/>
    <w:rsid w:val="0DD737A7"/>
    <w:rsid w:val="0E1D2DC4"/>
    <w:rsid w:val="0E2071F3"/>
    <w:rsid w:val="0E2C2AB5"/>
    <w:rsid w:val="101713C8"/>
    <w:rsid w:val="102713DB"/>
    <w:rsid w:val="110903F6"/>
    <w:rsid w:val="11871C18"/>
    <w:rsid w:val="12D666E0"/>
    <w:rsid w:val="13055F11"/>
    <w:rsid w:val="13DC2CB8"/>
    <w:rsid w:val="14D032C8"/>
    <w:rsid w:val="166F2BF1"/>
    <w:rsid w:val="1794192C"/>
    <w:rsid w:val="17EA1735"/>
    <w:rsid w:val="187E669C"/>
    <w:rsid w:val="188B2794"/>
    <w:rsid w:val="19C257C0"/>
    <w:rsid w:val="1A31098E"/>
    <w:rsid w:val="1B261919"/>
    <w:rsid w:val="1B2A00D1"/>
    <w:rsid w:val="1B3B78EC"/>
    <w:rsid w:val="1B5B7769"/>
    <w:rsid w:val="1BE73F47"/>
    <w:rsid w:val="1C9A1178"/>
    <w:rsid w:val="1D097D20"/>
    <w:rsid w:val="1E904230"/>
    <w:rsid w:val="1FB504FE"/>
    <w:rsid w:val="1FFA383F"/>
    <w:rsid w:val="20515ADA"/>
    <w:rsid w:val="222A162B"/>
    <w:rsid w:val="224E20DB"/>
    <w:rsid w:val="22937891"/>
    <w:rsid w:val="24610AB5"/>
    <w:rsid w:val="250733D2"/>
    <w:rsid w:val="26C167A6"/>
    <w:rsid w:val="27BC0E8D"/>
    <w:rsid w:val="285B64DE"/>
    <w:rsid w:val="29C55868"/>
    <w:rsid w:val="29E1316E"/>
    <w:rsid w:val="29F80FE7"/>
    <w:rsid w:val="29FB0865"/>
    <w:rsid w:val="2A473C52"/>
    <w:rsid w:val="2B773392"/>
    <w:rsid w:val="2CC9567C"/>
    <w:rsid w:val="2CD27F6C"/>
    <w:rsid w:val="2D930E3D"/>
    <w:rsid w:val="2F220213"/>
    <w:rsid w:val="2F442A87"/>
    <w:rsid w:val="2F841177"/>
    <w:rsid w:val="2FB546FC"/>
    <w:rsid w:val="30134210"/>
    <w:rsid w:val="31575D41"/>
    <w:rsid w:val="31D86DCF"/>
    <w:rsid w:val="32FF6567"/>
    <w:rsid w:val="34013B56"/>
    <w:rsid w:val="355D5FD5"/>
    <w:rsid w:val="357D1EB2"/>
    <w:rsid w:val="364058FF"/>
    <w:rsid w:val="36B610CD"/>
    <w:rsid w:val="37723635"/>
    <w:rsid w:val="37CE037F"/>
    <w:rsid w:val="38B15B46"/>
    <w:rsid w:val="38FE4822"/>
    <w:rsid w:val="3A2953C0"/>
    <w:rsid w:val="3A5C1E5A"/>
    <w:rsid w:val="3B34068A"/>
    <w:rsid w:val="3B5914C3"/>
    <w:rsid w:val="3B694D14"/>
    <w:rsid w:val="3B9610F4"/>
    <w:rsid w:val="3BB71C2D"/>
    <w:rsid w:val="3BC82C9D"/>
    <w:rsid w:val="3BD038FF"/>
    <w:rsid w:val="3BD61A36"/>
    <w:rsid w:val="3D152C6B"/>
    <w:rsid w:val="3EA37E97"/>
    <w:rsid w:val="3EB968CD"/>
    <w:rsid w:val="3EC318D5"/>
    <w:rsid w:val="3EC82FB3"/>
    <w:rsid w:val="3F142B57"/>
    <w:rsid w:val="3F1A7FAA"/>
    <w:rsid w:val="3F3E0AB4"/>
    <w:rsid w:val="3F984213"/>
    <w:rsid w:val="3F9F1F66"/>
    <w:rsid w:val="402B776A"/>
    <w:rsid w:val="420A51B3"/>
    <w:rsid w:val="428E2D29"/>
    <w:rsid w:val="43434F84"/>
    <w:rsid w:val="43D3409E"/>
    <w:rsid w:val="44A86E9A"/>
    <w:rsid w:val="45696BDB"/>
    <w:rsid w:val="457C263C"/>
    <w:rsid w:val="45D530D3"/>
    <w:rsid w:val="465B0945"/>
    <w:rsid w:val="48526CD7"/>
    <w:rsid w:val="486B4F45"/>
    <w:rsid w:val="48AD19E8"/>
    <w:rsid w:val="4967456F"/>
    <w:rsid w:val="49956A4F"/>
    <w:rsid w:val="49B303BC"/>
    <w:rsid w:val="4A730934"/>
    <w:rsid w:val="4B8E5FD0"/>
    <w:rsid w:val="4C3E0A00"/>
    <w:rsid w:val="4CA65793"/>
    <w:rsid w:val="4D0F3BE0"/>
    <w:rsid w:val="4D8A139E"/>
    <w:rsid w:val="4F42590E"/>
    <w:rsid w:val="4F7A44ED"/>
    <w:rsid w:val="4F9358A7"/>
    <w:rsid w:val="4FB870F0"/>
    <w:rsid w:val="5004570C"/>
    <w:rsid w:val="508C5CA4"/>
    <w:rsid w:val="50C44115"/>
    <w:rsid w:val="50C65541"/>
    <w:rsid w:val="50C67C69"/>
    <w:rsid w:val="515E3131"/>
    <w:rsid w:val="51DA5EFA"/>
    <w:rsid w:val="52146C75"/>
    <w:rsid w:val="523F6E00"/>
    <w:rsid w:val="52EC3EDC"/>
    <w:rsid w:val="5316652D"/>
    <w:rsid w:val="53AC3B6C"/>
    <w:rsid w:val="53BD4A78"/>
    <w:rsid w:val="54A67235"/>
    <w:rsid w:val="55C0458D"/>
    <w:rsid w:val="56242D6E"/>
    <w:rsid w:val="58D008AE"/>
    <w:rsid w:val="59B92E76"/>
    <w:rsid w:val="5B745643"/>
    <w:rsid w:val="5C8578BA"/>
    <w:rsid w:val="5CD9542F"/>
    <w:rsid w:val="5EB43F13"/>
    <w:rsid w:val="5F28567D"/>
    <w:rsid w:val="5F300F59"/>
    <w:rsid w:val="5FCF5D35"/>
    <w:rsid w:val="616B0C9C"/>
    <w:rsid w:val="6197308A"/>
    <w:rsid w:val="62844F25"/>
    <w:rsid w:val="635A435F"/>
    <w:rsid w:val="645D53B8"/>
    <w:rsid w:val="677060AD"/>
    <w:rsid w:val="6838006B"/>
    <w:rsid w:val="683F3018"/>
    <w:rsid w:val="684568B6"/>
    <w:rsid w:val="68BD0B09"/>
    <w:rsid w:val="68CD7763"/>
    <w:rsid w:val="6A4F4329"/>
    <w:rsid w:val="6ABC6136"/>
    <w:rsid w:val="6AF12B3E"/>
    <w:rsid w:val="6C826573"/>
    <w:rsid w:val="6C8919B8"/>
    <w:rsid w:val="6CE76051"/>
    <w:rsid w:val="6E914841"/>
    <w:rsid w:val="6EB1052D"/>
    <w:rsid w:val="6FB113CC"/>
    <w:rsid w:val="704E7EC8"/>
    <w:rsid w:val="71576811"/>
    <w:rsid w:val="71B67D83"/>
    <w:rsid w:val="71CF0BED"/>
    <w:rsid w:val="71D66846"/>
    <w:rsid w:val="723C3332"/>
    <w:rsid w:val="726873F0"/>
    <w:rsid w:val="729D59B3"/>
    <w:rsid w:val="72BE08F6"/>
    <w:rsid w:val="72CA08CF"/>
    <w:rsid w:val="731759FD"/>
    <w:rsid w:val="734164C7"/>
    <w:rsid w:val="746E7275"/>
    <w:rsid w:val="751A7E63"/>
    <w:rsid w:val="76A333E3"/>
    <w:rsid w:val="76AC6A44"/>
    <w:rsid w:val="77852CA3"/>
    <w:rsid w:val="778B6418"/>
    <w:rsid w:val="779A0D22"/>
    <w:rsid w:val="77DC43D6"/>
    <w:rsid w:val="79D044EF"/>
    <w:rsid w:val="7A436452"/>
    <w:rsid w:val="7A6A3136"/>
    <w:rsid w:val="7AFD1570"/>
    <w:rsid w:val="7B250D17"/>
    <w:rsid w:val="7B6E62FB"/>
    <w:rsid w:val="7BB44569"/>
    <w:rsid w:val="7CFD5584"/>
    <w:rsid w:val="7D810E5F"/>
    <w:rsid w:val="7D84768B"/>
    <w:rsid w:val="7DA912DF"/>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3838</Words>
  <Characters>4481</Characters>
  <Lines>27</Lines>
  <Paragraphs>7</Paragraphs>
  <TotalTime>1</TotalTime>
  <ScaleCrop>false</ScaleCrop>
  <LinksUpToDate>false</LinksUpToDate>
  <CharactersWithSpaces>4537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2022-10-26T08:37:00Z</cp:lastPrinted>
  <dcterms:modified xsi:type="dcterms:W3CDTF">2022-11-24T09:18:00Z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6A04F514BDA047D18C36E348780576E0</vt:lpwstr>
  </property>
</Properties>
</file>