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bidi w:val="0"/>
        <w:spacing w:line="440" w:lineRule="exact"/>
        <w:jc w:val="center"/>
        <w:rPr>
          <w:rFonts w:hint="eastAsia" w:ascii="方正小标宋简体" w:hAnsi="方正小标宋简体" w:eastAsia="方正小标宋简体" w:cs="方正小标宋简体"/>
          <w:b w:val="0"/>
          <w:bCs w:val="0"/>
          <w:color w:val="auto"/>
          <w:spacing w:val="3"/>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惠州市</w:t>
      </w:r>
      <w:r>
        <w:rPr>
          <w:rFonts w:hint="eastAsia" w:ascii="方正小标宋简体" w:hAnsi="方正小标宋简体" w:eastAsia="方正小标宋简体" w:cs="方正小标宋简体"/>
          <w:b w:val="0"/>
          <w:bCs w:val="0"/>
          <w:color w:val="auto"/>
          <w:spacing w:val="3"/>
          <w:sz w:val="44"/>
          <w:szCs w:val="44"/>
          <w:highlight w:val="none"/>
          <w:lang w:eastAsia="zh-CN"/>
        </w:rPr>
        <w:t>龙门县</w:t>
      </w:r>
      <w:r>
        <w:rPr>
          <w:rFonts w:hint="eastAsia" w:ascii="方正小标宋简体" w:hAnsi="方正小标宋简体" w:eastAsia="方正小标宋简体" w:cs="方正小标宋简体"/>
          <w:b w:val="0"/>
          <w:bCs w:val="0"/>
          <w:color w:val="auto"/>
          <w:spacing w:val="3"/>
          <w:sz w:val="44"/>
          <w:szCs w:val="44"/>
          <w:highlight w:val="none"/>
        </w:rPr>
        <w:t>国有建设用地使用权</w:t>
      </w:r>
    </w:p>
    <w:p>
      <w:pPr>
        <w:keepNext w:val="0"/>
        <w:keepLines w:val="0"/>
        <w:pageBreakBefore w:val="0"/>
        <w:tabs>
          <w:tab w:val="left" w:pos="11340"/>
        </w:tabs>
        <w:kinsoku/>
        <w:wordWrap/>
        <w:overflowPunct/>
        <w:topLinePunct w:val="0"/>
        <w:bidi w:val="0"/>
        <w:spacing w:line="440" w:lineRule="exact"/>
        <w:ind w:left="4018" w:hanging="4014" w:hangingChars="900"/>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网上挂牌</w:t>
      </w:r>
      <w:r>
        <w:rPr>
          <w:rFonts w:hint="eastAsia" w:ascii="方正小标宋简体" w:hAnsi="方正小标宋简体" w:eastAsia="方正小标宋简体" w:cs="方正小标宋简体"/>
          <w:b w:val="0"/>
          <w:bCs w:val="0"/>
          <w:color w:val="auto"/>
          <w:sz w:val="44"/>
          <w:szCs w:val="44"/>
          <w:highlight w:val="none"/>
        </w:rPr>
        <w:t>出让公告</w:t>
      </w:r>
    </w:p>
    <w:p>
      <w:pPr>
        <w:keepNext w:val="0"/>
        <w:keepLines w:val="0"/>
        <w:pageBreakBefore w:val="0"/>
        <w:kinsoku/>
        <w:wordWrap/>
        <w:overflowPunct/>
        <w:topLinePunct w:val="0"/>
        <w:autoSpaceDE/>
        <w:autoSpaceDN/>
        <w:bidi w:val="0"/>
        <w:spacing w:line="440" w:lineRule="exact"/>
        <w:jc w:val="center"/>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龙自然资挂</w:t>
      </w:r>
      <w:r>
        <w:rPr>
          <w:rFonts w:hint="eastAsia" w:ascii="仿宋_GB2312" w:hAnsi="仿宋_GB2312" w:eastAsia="仿宋_GB2312" w:cs="仿宋_GB2312"/>
          <w:b w:val="0"/>
          <w:bCs w:val="0"/>
          <w:color w:val="auto"/>
          <w:sz w:val="32"/>
          <w:szCs w:val="32"/>
          <w:highlight w:val="none"/>
          <w:lang w:eastAsia="zh-CN"/>
        </w:rPr>
        <w:t>﹝2022﹞</w:t>
      </w:r>
      <w:r>
        <w:rPr>
          <w:rFonts w:hint="eastAsia" w:ascii="仿宋_GB2312" w:hAnsi="仿宋_GB2312" w:eastAsia="仿宋_GB2312" w:cs="仿宋_GB2312"/>
          <w:b w:val="0"/>
          <w:bCs w:val="0"/>
          <w:color w:val="auto"/>
          <w:sz w:val="32"/>
          <w:szCs w:val="32"/>
          <w:highlight w:val="none"/>
          <w:lang w:val="en-US" w:eastAsia="zh-CN"/>
        </w:rPr>
        <w:t>003</w:t>
      </w:r>
      <w:r>
        <w:rPr>
          <w:rFonts w:hint="eastAsia" w:ascii="仿宋_GB2312" w:hAnsi="仿宋_GB2312" w:eastAsia="仿宋_GB2312" w:cs="仿宋_GB2312"/>
          <w:b w:val="0"/>
          <w:bCs w:val="0"/>
          <w:color w:val="auto"/>
          <w:sz w:val="32"/>
          <w:szCs w:val="32"/>
          <w:highlight w:val="none"/>
          <w:lang w:eastAsia="zh-CN"/>
        </w:rPr>
        <w:t>号</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根据《招标拍卖挂牌出让国有建设用地使用权规定》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国土资源部令第39号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和《广东省土地使用权交易市场管理规定》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广东省人民政府令第79号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的规定，经批准，</w:t>
      </w:r>
      <w:r>
        <w:rPr>
          <w:rFonts w:hint="eastAsia" w:ascii="仿宋_GB2312" w:hAnsi="仿宋_GB2312" w:eastAsia="仿宋_GB2312" w:cs="仿宋_GB2312"/>
          <w:b w:val="0"/>
          <w:bCs w:val="0"/>
          <w:color w:val="auto"/>
          <w:sz w:val="32"/>
          <w:szCs w:val="32"/>
          <w:highlight w:val="none"/>
          <w:lang w:eastAsia="zh-CN"/>
        </w:rPr>
        <w:t>我</w:t>
      </w:r>
      <w:r>
        <w:rPr>
          <w:rFonts w:hint="eastAsia" w:ascii="仿宋_GB2312" w:hAnsi="仿宋_GB2312" w:eastAsia="仿宋_GB2312" w:cs="仿宋_GB2312"/>
          <w:b w:val="0"/>
          <w:bCs w:val="0"/>
          <w:color w:val="auto"/>
          <w:sz w:val="32"/>
          <w:szCs w:val="32"/>
          <w:highlight w:val="none"/>
        </w:rPr>
        <w:t>局决定以网上挂牌方式公开出让下列</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国有建设用地使用权。现将有关事项公告如下：</w:t>
      </w:r>
    </w:p>
    <w:p>
      <w:pPr>
        <w:keepNext w:val="0"/>
        <w:keepLines w:val="0"/>
        <w:pageBreakBefore w:val="0"/>
        <w:numPr>
          <w:ilvl w:val="0"/>
          <w:numId w:val="1"/>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网上挂牌出让地块基本情况及规划指标要求（见附表）</w:t>
      </w:r>
    </w:p>
    <w:p>
      <w:pPr>
        <w:keepNext w:val="0"/>
        <w:keepLines w:val="0"/>
        <w:pageBreakBefore w:val="0"/>
        <w:numPr>
          <w:ilvl w:val="0"/>
          <w:numId w:val="1"/>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挂牌起始价及加价幅度</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LM2022-25号地块</w:t>
      </w:r>
      <w:r>
        <w:rPr>
          <w:rFonts w:hint="eastAsia" w:ascii="仿宋_GB2312" w:hAnsi="仿宋_GB2312" w:eastAsia="仿宋_GB2312" w:cs="仿宋_GB2312"/>
          <w:b w:val="0"/>
          <w:bCs w:val="0"/>
          <w:color w:val="auto"/>
          <w:sz w:val="32"/>
          <w:szCs w:val="32"/>
          <w:highlight w:val="none"/>
          <w:lang w:eastAsia="zh-CN"/>
        </w:rPr>
        <w:t>挂牌起始价为人民币</w:t>
      </w:r>
      <w:r>
        <w:rPr>
          <w:rFonts w:hint="eastAsia" w:ascii="仿宋_GB2312" w:hAnsi="仿宋_GB2312" w:eastAsia="仿宋_GB2312" w:cs="仿宋_GB2312"/>
          <w:b w:val="0"/>
          <w:bCs w:val="0"/>
          <w:color w:val="auto"/>
          <w:sz w:val="32"/>
          <w:szCs w:val="32"/>
          <w:highlight w:val="none"/>
          <w:lang w:val="en-US" w:eastAsia="zh-CN"/>
        </w:rPr>
        <w:t>1006万元</w:t>
      </w:r>
      <w:r>
        <w:rPr>
          <w:rFonts w:hint="eastAsia" w:ascii="仿宋_GB2312" w:hAnsi="仿宋_GB2312" w:eastAsia="仿宋_GB2312" w:cs="仿宋_GB2312"/>
          <w:b w:val="0"/>
          <w:bCs w:val="0"/>
          <w:color w:val="auto"/>
          <w:sz w:val="32"/>
          <w:szCs w:val="32"/>
          <w:highlight w:val="none"/>
          <w:lang w:eastAsia="zh-CN"/>
        </w:rPr>
        <w:t>，每次报价加价幅度为人民币</w:t>
      </w:r>
      <w:r>
        <w:rPr>
          <w:rFonts w:hint="eastAsia" w:ascii="仿宋_GB2312" w:hAnsi="仿宋_GB2312" w:eastAsia="仿宋_GB2312" w:cs="仿宋_GB2312"/>
          <w:b w:val="0"/>
          <w:bCs w:val="0"/>
          <w:color w:val="auto"/>
          <w:sz w:val="32"/>
          <w:szCs w:val="32"/>
          <w:highlight w:val="none"/>
          <w:lang w:val="en-US" w:eastAsia="zh-CN"/>
        </w:rPr>
        <w:t>30万</w:t>
      </w:r>
      <w:r>
        <w:rPr>
          <w:rFonts w:hint="eastAsia" w:ascii="仿宋_GB2312" w:hAnsi="仿宋_GB2312" w:eastAsia="仿宋_GB2312" w:cs="仿宋_GB2312"/>
          <w:b w:val="0"/>
          <w:bCs w:val="0"/>
          <w:color w:val="auto"/>
          <w:sz w:val="32"/>
          <w:szCs w:val="32"/>
          <w:highlight w:val="none"/>
          <w:lang w:eastAsia="zh-CN"/>
        </w:rPr>
        <w:t>元的整数倍。</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三、时间安排</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（一）公告时间：</w:t>
      </w:r>
      <w:r>
        <w:rPr>
          <w:rFonts w:hint="eastAsia" w:ascii="仿宋_GB2312" w:hAnsi="仿宋_GB2312" w:eastAsia="仿宋_GB2312" w:cs="仿宋_GB2312"/>
          <w:b w:val="0"/>
          <w:bCs w:val="0"/>
          <w:color w:val="auto"/>
          <w:sz w:val="32"/>
          <w:szCs w:val="32"/>
          <w:highlight w:val="none"/>
          <w:u w:val="singl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10</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28</w:t>
      </w:r>
      <w:r>
        <w:rPr>
          <w:rFonts w:hint="eastAsia" w:ascii="仿宋_GB2312" w:hAnsi="仿宋_GB2312" w:eastAsia="仿宋_GB2312" w:cs="仿宋_GB2312"/>
          <w:b w:val="0"/>
          <w:bCs w:val="0"/>
          <w:color w:val="auto"/>
          <w:sz w:val="32"/>
          <w:szCs w:val="32"/>
          <w:highlight w:val="none"/>
        </w:rPr>
        <w:t>日至</w:t>
      </w:r>
      <w:r>
        <w:rPr>
          <w:rFonts w:hint="eastAsia" w:ascii="仿宋_GB2312" w:hAnsi="仿宋_GB2312" w:eastAsia="仿宋_GB2312" w:cs="仿宋_GB2312"/>
          <w:b w:val="0"/>
          <w:bCs w:val="0"/>
          <w:color w:val="auto"/>
          <w:sz w:val="32"/>
          <w:szCs w:val="32"/>
          <w:highlight w:val="none"/>
          <w:u w:val="singl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11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16</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eastAsia="zh-CN"/>
        </w:rPr>
        <w:t>。</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（二）网上挂牌竞买时间：</w:t>
      </w:r>
      <w:r>
        <w:rPr>
          <w:rFonts w:hint="eastAsia" w:ascii="仿宋_GB2312" w:hAnsi="仿宋_GB2312" w:eastAsia="仿宋_GB2312" w:cs="仿宋_GB2312"/>
          <w:b w:val="0"/>
          <w:bCs w:val="0"/>
          <w:color w:val="auto"/>
          <w:sz w:val="32"/>
          <w:szCs w:val="32"/>
          <w:highlight w:val="none"/>
          <w:u w:val="singl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11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17</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u w:val="single"/>
          <w:lang w:val="en-US" w:eastAsia="zh-CN"/>
        </w:rPr>
        <w:t>9</w:t>
      </w:r>
      <w:r>
        <w:rPr>
          <w:rFonts w:hint="eastAsia" w:ascii="仿宋_GB2312" w:hAnsi="仿宋_GB2312" w:eastAsia="仿宋_GB2312" w:cs="仿宋_GB2312"/>
          <w:b w:val="0"/>
          <w:bCs w:val="0"/>
          <w:color w:val="auto"/>
          <w:sz w:val="32"/>
          <w:szCs w:val="32"/>
          <w:highlight w:val="none"/>
        </w:rPr>
        <w:t>时至</w:t>
      </w:r>
      <w:r>
        <w:rPr>
          <w:rFonts w:hint="eastAsia" w:ascii="仿宋_GB2312" w:hAnsi="仿宋_GB2312" w:eastAsia="仿宋_GB2312" w:cs="仿宋_GB2312"/>
          <w:b w:val="0"/>
          <w:bCs w:val="0"/>
          <w:color w:val="auto"/>
          <w:sz w:val="32"/>
          <w:szCs w:val="32"/>
          <w:highlight w:val="none"/>
          <w:u w:val="single"/>
          <w:lang w:val="en-US" w:eastAsia="zh-CN"/>
        </w:rPr>
        <w:t>2022</w:t>
      </w:r>
      <w:r>
        <w:rPr>
          <w:rFonts w:hint="eastAsia" w:ascii="仿宋_GB2312" w:hAnsi="仿宋_GB2312" w:eastAsia="仿宋_GB2312" w:cs="仿宋_GB2312"/>
          <w:b w:val="0"/>
          <w:bCs w:val="0"/>
          <w:color w:val="auto"/>
          <w:sz w:val="32"/>
          <w:szCs w:val="32"/>
          <w:highlight w:val="none"/>
          <w:u w:val="none"/>
          <w:lang w:val="en-US" w:eastAsia="zh-CN"/>
        </w:rPr>
        <w:t>年</w:t>
      </w:r>
      <w:r>
        <w:rPr>
          <w:rFonts w:hint="eastAsia" w:ascii="仿宋_GB2312" w:hAnsi="仿宋_GB2312" w:eastAsia="仿宋_GB2312" w:cs="仿宋_GB2312"/>
          <w:b w:val="0"/>
          <w:bCs w:val="0"/>
          <w:color w:val="auto"/>
          <w:sz w:val="32"/>
          <w:szCs w:val="32"/>
          <w:highlight w:val="none"/>
          <w:u w:val="singl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1</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u w:val="single"/>
          <w:lang w:val="en-US" w:eastAsia="zh-CN"/>
        </w:rPr>
        <w:t>10</w:t>
      </w:r>
      <w:r>
        <w:rPr>
          <w:rFonts w:hint="eastAsia" w:ascii="仿宋_GB2312" w:hAnsi="仿宋_GB2312"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竞买保证金到账截止时间为：</w:t>
      </w:r>
      <w:r>
        <w:rPr>
          <w:rFonts w:hint="eastAsia" w:ascii="仿宋_GB2312" w:hAnsi="仿宋_GB2312" w:eastAsia="仿宋_GB2312" w:cs="仿宋_GB2312"/>
          <w:b w:val="0"/>
          <w:bCs w:val="0"/>
          <w:color w:val="auto"/>
          <w:sz w:val="32"/>
          <w:szCs w:val="32"/>
          <w:highlight w:val="none"/>
          <w:u w:val="single"/>
          <w:lang w:val="en-US" w:eastAsia="zh-CN"/>
        </w:rPr>
        <w:t>2022</w:t>
      </w:r>
      <w:r>
        <w:rPr>
          <w:rFonts w:hint="eastAsia" w:ascii="仿宋_GB2312" w:hAnsi="仿宋_GB2312" w:eastAsia="仿宋_GB2312" w:cs="仿宋_GB2312"/>
          <w:b w:val="0"/>
          <w:bCs w:val="0"/>
          <w:color w:val="auto"/>
          <w:sz w:val="32"/>
          <w:szCs w:val="32"/>
          <w:highlight w:val="none"/>
          <w:u w:val="none"/>
          <w:lang w:val="en-US" w:eastAsia="zh-CN"/>
        </w:rPr>
        <w:t>年</w:t>
      </w:r>
      <w:r>
        <w:rPr>
          <w:rFonts w:hint="eastAsia" w:ascii="仿宋_GB2312" w:hAnsi="仿宋_GB2312" w:eastAsia="仿宋_GB2312" w:cs="仿宋_GB2312"/>
          <w:b w:val="0"/>
          <w:bCs w:val="0"/>
          <w:color w:val="auto"/>
          <w:sz w:val="32"/>
          <w:szCs w:val="32"/>
          <w:highlight w:val="none"/>
          <w:u w:val="singl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1</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u w:val="single"/>
          <w:lang w:val="en-US" w:eastAsia="zh-CN"/>
        </w:rPr>
        <w:t>9</w:t>
      </w:r>
      <w:r>
        <w:rPr>
          <w:rFonts w:hint="eastAsia" w:ascii="仿宋_GB2312" w:hAnsi="仿宋_GB2312"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四、竞买资格及要求</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中华人民共和国境内外的法人、自然人和其他组织，符合竞买资格条件的,均可通过网上挂牌交易系统，申请参加电子挂牌交易活动，法律、法规另有规定的从其规定。</w:t>
      </w:r>
    </w:p>
    <w:p>
      <w:pPr>
        <w:pStyle w:val="5"/>
        <w:keepNext w:val="0"/>
        <w:keepLines w:val="0"/>
        <w:pageBreakBefore w:val="0"/>
        <w:widowControl w:val="0"/>
        <w:kinsoku/>
        <w:wordWrap/>
        <w:overflowPunct/>
        <w:topLinePunct w:val="0"/>
        <w:autoSpaceDE/>
        <w:autoSpaceDN/>
        <w:bidi w:val="0"/>
        <w:spacing w:before="0" w:line="440" w:lineRule="exact"/>
        <w:ind w:left="0" w:leftChars="0" w:firstLine="640" w:firstLineChars="200"/>
        <w:jc w:val="both"/>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（一）交纳足额竞买保证金；</w:t>
      </w:r>
    </w:p>
    <w:p>
      <w:pPr>
        <w:pStyle w:val="8"/>
        <w:keepNext w:val="0"/>
        <w:keepLines w:val="0"/>
        <w:pageBreakBefore w:val="0"/>
        <w:widowControl/>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（二）存在下列行为之一的企业及其控股股东，不得参与竞买上述地块：</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1、伪造公文骗取用地行为；</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2、非法转让土地使用权行为；</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3、因企业原因造成土地闲置一年以上且至报名日止未处理完结；</w:t>
      </w:r>
    </w:p>
    <w:p>
      <w:pPr>
        <w:pStyle w:val="8"/>
        <w:keepNext w:val="0"/>
        <w:keepLines w:val="0"/>
        <w:pageBreakBefore w:val="0"/>
        <w:widowControl/>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4、未按出让合同约定条件开发利用土地且至报名日止未处理完结；</w:t>
      </w:r>
    </w:p>
    <w:p>
      <w:pPr>
        <w:pStyle w:val="8"/>
        <w:keepNext w:val="0"/>
        <w:keepLines w:val="0"/>
        <w:pageBreakBefore w:val="0"/>
        <w:widowControl/>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5、至报名日止仍拖欠政府地价款。</w:t>
      </w:r>
    </w:p>
    <w:p>
      <w:pPr>
        <w:pStyle w:val="5"/>
        <w:keepNext w:val="0"/>
        <w:keepLines w:val="0"/>
        <w:pageBreakBefore w:val="0"/>
        <w:widowControl w:val="0"/>
        <w:numPr>
          <w:ilvl w:val="0"/>
          <w:numId w:val="0"/>
        </w:numPr>
        <w:kinsoku/>
        <w:wordWrap/>
        <w:overflowPunct/>
        <w:topLinePunct w:val="0"/>
        <w:autoSpaceDE/>
        <w:autoSpaceDN/>
        <w:bidi w:val="0"/>
        <w:spacing w:before="0" w:line="440" w:lineRule="exact"/>
        <w:ind w:firstLine="640" w:firstLineChars="200"/>
        <w:jc w:val="both"/>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五、</w:t>
      </w:r>
      <w:r>
        <w:rPr>
          <w:rFonts w:hint="eastAsia" w:ascii="仿宋_GB2312" w:hAnsi="仿宋_GB2312" w:eastAsia="仿宋_GB2312" w:cs="仿宋_GB2312"/>
          <w:b w:val="0"/>
          <w:bCs w:val="0"/>
          <w:color w:val="auto"/>
          <w:szCs w:val="32"/>
          <w:highlight w:val="none"/>
        </w:rPr>
        <w:t>竞买保证金</w:t>
      </w:r>
    </w:p>
    <w:p>
      <w:pPr>
        <w:pStyle w:val="5"/>
        <w:keepNext w:val="0"/>
        <w:keepLines w:val="0"/>
        <w:pageBreakBefore w:val="0"/>
        <w:widowControl w:val="0"/>
        <w:numPr>
          <w:ilvl w:val="0"/>
          <w:numId w:val="0"/>
        </w:numPr>
        <w:kinsoku/>
        <w:wordWrap/>
        <w:overflowPunct/>
        <w:topLinePunct w:val="0"/>
        <w:autoSpaceDE/>
        <w:autoSpaceDN/>
        <w:bidi w:val="0"/>
        <w:spacing w:before="0" w:line="440" w:lineRule="exact"/>
        <w:ind w:firstLine="640" w:firstLineChars="200"/>
        <w:jc w:val="both"/>
        <w:textAlignment w:val="auto"/>
        <w:rPr>
          <w:rFonts w:hint="eastAsia" w:ascii="仿宋_GB2312" w:hAnsi="仿宋_GB2312" w:eastAsia="仿宋_GB2312" w:cs="仿宋_GB2312"/>
          <w:b w:val="0"/>
          <w:bCs w:val="0"/>
          <w:color w:val="auto"/>
          <w:szCs w:val="32"/>
          <w:highlight w:val="none"/>
          <w:lang w:val="en-US" w:eastAsia="zh-CN"/>
        </w:rPr>
      </w:pPr>
      <w:r>
        <w:rPr>
          <w:rFonts w:hint="eastAsia" w:ascii="仿宋_GB2312" w:hAnsi="仿宋_GB2312" w:eastAsia="仿宋_GB2312" w:cs="仿宋_GB2312"/>
          <w:b w:val="0"/>
          <w:bCs w:val="0"/>
          <w:color w:val="auto"/>
          <w:szCs w:val="32"/>
          <w:highlight w:val="none"/>
          <w:lang w:val="en-US" w:eastAsia="zh-CN"/>
        </w:rPr>
        <w:t>（一）LM2022-2</w:t>
      </w:r>
      <w:r>
        <w:rPr>
          <w:rFonts w:hint="eastAsia" w:hAnsi="仿宋_GB2312" w:cs="仿宋_GB2312"/>
          <w:b w:val="0"/>
          <w:bCs w:val="0"/>
          <w:color w:val="auto"/>
          <w:szCs w:val="32"/>
          <w:highlight w:val="none"/>
          <w:lang w:val="en-US" w:eastAsia="zh-CN"/>
        </w:rPr>
        <w:t>5</w:t>
      </w:r>
      <w:r>
        <w:rPr>
          <w:rFonts w:hint="eastAsia" w:ascii="仿宋_GB2312" w:hAnsi="仿宋_GB2312" w:eastAsia="仿宋_GB2312" w:cs="仿宋_GB2312"/>
          <w:b w:val="0"/>
          <w:bCs w:val="0"/>
          <w:color w:val="auto"/>
          <w:szCs w:val="32"/>
          <w:highlight w:val="none"/>
          <w:lang w:val="en-US" w:eastAsia="zh-CN"/>
        </w:rPr>
        <w:t>号地块</w:t>
      </w:r>
      <w:r>
        <w:rPr>
          <w:rFonts w:hint="eastAsia" w:ascii="仿宋_GB2312" w:hAnsi="仿宋_GB2312" w:eastAsia="仿宋_GB2312" w:cs="仿宋_GB2312"/>
          <w:b w:val="0"/>
          <w:bCs w:val="0"/>
          <w:color w:val="auto"/>
          <w:szCs w:val="32"/>
          <w:highlight w:val="none"/>
        </w:rPr>
        <w:t>竞买保证金为人民币</w:t>
      </w:r>
      <w:r>
        <w:rPr>
          <w:rFonts w:hint="eastAsia" w:hAnsi="仿宋_GB2312" w:cs="仿宋_GB2312"/>
          <w:b w:val="0"/>
          <w:bCs w:val="0"/>
          <w:color w:val="auto"/>
          <w:szCs w:val="32"/>
          <w:highlight w:val="none"/>
          <w:u w:val="none"/>
          <w:lang w:val="en-US" w:eastAsia="zh-CN"/>
        </w:rPr>
        <w:t>503</w:t>
      </w:r>
      <w:r>
        <w:rPr>
          <w:rFonts w:hint="eastAsia" w:ascii="仿宋_GB2312" w:hAnsi="仿宋_GB2312" w:eastAsia="仿宋_GB2312" w:cs="仿宋_GB2312"/>
          <w:b w:val="0"/>
          <w:bCs w:val="0"/>
          <w:color w:val="auto"/>
          <w:szCs w:val="32"/>
          <w:highlight w:val="none"/>
        </w:rPr>
        <w:t>万元</w:t>
      </w:r>
      <w:r>
        <w:rPr>
          <w:rFonts w:hint="eastAsia" w:ascii="仿宋_GB2312" w:hAnsi="仿宋_GB2312" w:eastAsia="仿宋_GB2312" w:cs="仿宋_GB2312"/>
          <w:b w:val="0"/>
          <w:bCs w:val="0"/>
          <w:color w:val="auto"/>
          <w:szCs w:val="32"/>
          <w:highlight w:val="none"/>
          <w:lang w:val="en-US" w:eastAsia="zh-CN"/>
        </w:rPr>
        <w:t>。</w:t>
      </w:r>
    </w:p>
    <w:p>
      <w:pPr>
        <w:pStyle w:val="5"/>
        <w:keepNext w:val="0"/>
        <w:keepLines w:val="0"/>
        <w:pageBreakBefore w:val="0"/>
        <w:widowControl w:val="0"/>
        <w:numPr>
          <w:ilvl w:val="0"/>
          <w:numId w:val="0"/>
        </w:numPr>
        <w:kinsoku/>
        <w:wordWrap/>
        <w:overflowPunct/>
        <w:topLinePunct w:val="0"/>
        <w:autoSpaceDE/>
        <w:autoSpaceDN/>
        <w:bidi w:val="0"/>
        <w:spacing w:before="0" w:line="44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（二）</w:t>
      </w:r>
      <w:r>
        <w:rPr>
          <w:rFonts w:hint="eastAsia" w:ascii="仿宋_GB2312" w:hAnsi="仿宋_GB2312" w:eastAsia="仿宋_GB2312" w:cs="仿宋_GB2312"/>
          <w:b w:val="0"/>
          <w:bCs w:val="0"/>
          <w:color w:val="auto"/>
          <w:sz w:val="32"/>
          <w:szCs w:val="32"/>
          <w:highlight w:val="none"/>
        </w:rPr>
        <w:t>申请人应当在网上挂牌出让竞买保证金到账截止时间前登录惠州市公共资源交易中心（以下简称“交易中心”）土地与矿业网上挂牌交易系统（以下简称“网上挂牌交易系统”</w:t>
      </w:r>
      <w:r>
        <w:rPr>
          <w:rFonts w:hint="eastAsia" w:ascii="仿宋_GB2312" w:hAnsi="仿宋_GB2312" w:eastAsia="仿宋_GB2312" w:cs="仿宋_GB2312"/>
          <w:i w:val="0"/>
          <w:iCs w:val="0"/>
          <w:caps w:val="0"/>
          <w:color w:val="333333"/>
          <w:spacing w:val="0"/>
          <w:sz w:val="31"/>
          <w:szCs w:val="31"/>
          <w:shd w:val="clear" w:fill="FFFFFF"/>
        </w:rPr>
        <w:t>，网址：https://www.hzgtjy.com/</w:t>
      </w:r>
      <w:r>
        <w:rPr>
          <w:rFonts w:hint="eastAsia" w:ascii="仿宋_GB2312" w:hAnsi="仿宋_GB2312" w:eastAsia="仿宋_GB2312" w:cs="仿宋_GB2312"/>
          <w:b w:val="0"/>
          <w:bCs w:val="0"/>
          <w:color w:val="auto"/>
          <w:sz w:val="32"/>
          <w:szCs w:val="32"/>
          <w:highlight w:val="none"/>
        </w:rPr>
        <w:t>）获取竞买保证金支付账号。</w:t>
      </w:r>
    </w:p>
    <w:p>
      <w:pPr>
        <w:keepNext w:val="0"/>
        <w:keepLines w:val="0"/>
        <w:pageBreakBefore w:val="0"/>
        <w:numPr>
          <w:ilvl w:val="0"/>
          <w:numId w:val="0"/>
        </w:numPr>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竞买保证金到账时间以网上挂牌交易系统确认并发出《保证金到账通知书》为准。</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rPr>
        <w:t>竞买申请</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可以单独申请，也可以联合申请。</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单独申请竞买的，竞买申请人为非本县注册登记的企业，在竞得土地后，必须于2个月内在本县市场监督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变更协议》；也可按约定直接与新公司签订《出让合同》。</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kern w:val="0"/>
          <w:sz w:val="32"/>
          <w:szCs w:val="32"/>
          <w:lang w:val="en-US" w:eastAsia="zh-CN" w:bidi="ar-SA"/>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县市场监督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4"/>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本宗国有建设用地使用权网上挂牌出让实行竞买资格后置审查。竞买申请人交纳足额竞买保证金即获得竞买报价权限。</w:t>
      </w:r>
    </w:p>
    <w:p>
      <w:pPr>
        <w:pStyle w:val="5"/>
        <w:keepNext w:val="0"/>
        <w:keepLines w:val="0"/>
        <w:pageBreakBefore w:val="0"/>
        <w:widowControl w:val="0"/>
        <w:kinsoku/>
        <w:wordWrap/>
        <w:overflowPunct/>
        <w:topLinePunct w:val="0"/>
        <w:autoSpaceDE/>
        <w:autoSpaceDN/>
        <w:bidi w:val="0"/>
        <w:spacing w:before="0" w:line="440" w:lineRule="exact"/>
        <w:ind w:left="0" w:leftChars="0" w:firstLine="640" w:firstLineChars="200"/>
        <w:jc w:val="both"/>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七、竞买人电子报价及电子限时竞价</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八、确定成交候选人</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国有建设用地使用权网上挂牌出让为无底价挂牌，采取价高者得方式出让并确定成交候选人。</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九、资格审查</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成交候选人应在网上挂牌交易系统确定成交候选人之日起</w:t>
      </w:r>
      <w:r>
        <w:rPr>
          <w:rFonts w:hint="eastAsia" w:ascii="仿宋_GB2312" w:hAnsi="仿宋_GB2312" w:eastAsia="仿宋_GB2312" w:cs="仿宋_GB2312"/>
          <w:b w:val="0"/>
          <w:bCs w:val="0"/>
          <w:color w:val="auto"/>
          <w:sz w:val="32"/>
          <w:szCs w:val="32"/>
          <w:highlight w:val="none"/>
          <w:u w:val="single"/>
          <w:lang w:val="en-US" w:eastAsia="zh-CN"/>
        </w:rPr>
        <w:t>3</w:t>
      </w:r>
      <w:r>
        <w:rPr>
          <w:rFonts w:hint="eastAsia" w:ascii="仿宋_GB2312" w:hAnsi="仿宋_GB2312" w:eastAsia="仿宋_GB2312" w:cs="仿宋_GB2312"/>
          <w:b w:val="0"/>
          <w:bCs w:val="0"/>
          <w:color w:val="auto"/>
          <w:sz w:val="32"/>
          <w:szCs w:val="32"/>
          <w:highlight w:val="none"/>
        </w:rPr>
        <w:t>个工作日内将竞买申请纸质材料提交至我局，由我局对竞买资格进行审查。我局将于</w:t>
      </w:r>
      <w:r>
        <w:rPr>
          <w:rFonts w:hint="eastAsia" w:ascii="仿宋_GB2312" w:hAnsi="仿宋_GB2312" w:eastAsia="仿宋_GB2312" w:cs="仿宋_GB2312"/>
          <w:b w:val="0"/>
          <w:bCs w:val="0"/>
          <w:color w:val="auto"/>
          <w:sz w:val="32"/>
          <w:szCs w:val="32"/>
          <w:highlight w:val="none"/>
          <w:u w:val="singl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6</w:t>
      </w:r>
      <w:r>
        <w:rPr>
          <w:rFonts w:hint="eastAsia" w:ascii="仿宋_GB2312" w:hAnsi="仿宋_GB2312" w:eastAsia="仿宋_GB2312" w:cs="仿宋_GB2312"/>
          <w:b w:val="0"/>
          <w:bCs w:val="0"/>
          <w:color w:val="auto"/>
          <w:sz w:val="32"/>
          <w:szCs w:val="32"/>
          <w:highlight w:val="none"/>
        </w:rPr>
        <w:t xml:space="preserve">日前确定符合竞买资格的成交候选人为竞得人。 </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成交候选人资格审查须提交下列材料：</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《竞买申请书》（加盖公章）；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《竞价结果通知书》（加盖公章）；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《竞买保证金到账通知书》（加盖公章）；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竞买保证金转账凭证复印件（加盖公章）；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申请竞买人有效的《营业执照》复印件（加盖公章）；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法定代表人身份证复印件（加盖公章）；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授权他人代理的授权委托书及代理人身份证复印件（核对原件）；</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联合竞买协议（联合竞买的提供）；</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rPr>
        <w:t>地块建设和使用监管协议书；</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十、签订交易成交确认书及出让合同</w:t>
      </w:r>
    </w:p>
    <w:p>
      <w:pPr>
        <w:keepNext w:val="0"/>
        <w:keepLines w:val="0"/>
        <w:pageBreakBefore w:val="0"/>
        <w:kinsoku/>
        <w:wordWrap/>
        <w:overflowPunct/>
        <w:topLinePunct w:val="0"/>
        <w:autoSpaceDE/>
        <w:autoSpaceDN/>
        <w:bidi w:val="0"/>
        <w:spacing w:line="44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竞得人应在接到竞得人确定通知之日起</w:t>
      </w:r>
      <w:r>
        <w:rPr>
          <w:rFonts w:hint="eastAsia" w:ascii="仿宋_GB2312" w:hAnsi="仿宋_GB2312" w:eastAsia="仿宋_GB2312" w:cs="仿宋_GB2312"/>
          <w:b w:val="0"/>
          <w:bCs w:val="0"/>
          <w:color w:val="auto"/>
          <w:sz w:val="32"/>
          <w:szCs w:val="32"/>
          <w:highlight w:val="none"/>
          <w:u w:val="single"/>
          <w:lang w:val="en-US" w:eastAsia="zh-CN"/>
        </w:rPr>
        <w:t>5</w:t>
      </w:r>
      <w:r>
        <w:rPr>
          <w:rFonts w:hint="eastAsia" w:ascii="仿宋_GB2312" w:hAnsi="仿宋_GB2312" w:eastAsia="仿宋_GB2312" w:cs="仿宋_GB2312"/>
          <w:b w:val="0"/>
          <w:bCs w:val="0"/>
          <w:color w:val="auto"/>
          <w:sz w:val="32"/>
          <w:szCs w:val="32"/>
          <w:highlight w:val="none"/>
        </w:rPr>
        <w:t>个工作日内</w:t>
      </w:r>
      <w:r>
        <w:rPr>
          <w:rFonts w:hint="eastAsia" w:ascii="仿宋_GB2312" w:hAnsi="仿宋_GB2312" w:eastAsia="仿宋_GB2312" w:cs="仿宋_GB2312"/>
          <w:b w:val="0"/>
          <w:bCs w:val="0"/>
          <w:color w:val="auto"/>
          <w:sz w:val="32"/>
          <w:szCs w:val="32"/>
          <w:highlight w:val="none"/>
          <w:lang w:eastAsia="zh-CN"/>
        </w:rPr>
        <w:t>与我局、交易中心</w:t>
      </w:r>
      <w:r>
        <w:rPr>
          <w:rFonts w:hint="eastAsia" w:ascii="仿宋_GB2312" w:hAnsi="仿宋_GB2312" w:eastAsia="仿宋_GB2312" w:cs="仿宋_GB2312"/>
          <w:b w:val="0"/>
          <w:bCs w:val="0"/>
          <w:color w:val="auto"/>
          <w:sz w:val="32"/>
          <w:szCs w:val="32"/>
          <w:highlight w:val="none"/>
        </w:rPr>
        <w:t>签订《成交确认书》，在签订《成交确认书》之日起</w:t>
      </w:r>
      <w:r>
        <w:rPr>
          <w:rFonts w:hint="eastAsia" w:ascii="仿宋_GB2312" w:hAnsi="仿宋_GB2312" w:eastAsia="仿宋_GB2312" w:cs="仿宋_GB2312"/>
          <w:b w:val="0"/>
          <w:bCs w:val="0"/>
          <w:color w:val="auto"/>
          <w:sz w:val="32"/>
          <w:szCs w:val="32"/>
          <w:highlight w:val="none"/>
          <w:u w:val="single"/>
          <w:lang w:val="en-US" w:eastAsia="zh-CN"/>
        </w:rPr>
        <w:t>10</w:t>
      </w:r>
      <w:r>
        <w:rPr>
          <w:rFonts w:hint="eastAsia" w:ascii="仿宋_GB2312" w:hAnsi="仿宋_GB2312" w:eastAsia="仿宋_GB2312" w:cs="仿宋_GB2312"/>
          <w:b w:val="0"/>
          <w:bCs w:val="0"/>
          <w:color w:val="auto"/>
          <w:sz w:val="32"/>
          <w:szCs w:val="32"/>
          <w:highlight w:val="none"/>
          <w:u w:val="none"/>
          <w:lang w:val="en-US" w:eastAsia="zh-CN"/>
        </w:rPr>
        <w:t>个工作日</w:t>
      </w:r>
      <w:r>
        <w:rPr>
          <w:rFonts w:hint="eastAsia" w:ascii="仿宋_GB2312" w:hAnsi="仿宋_GB2312" w:eastAsia="仿宋_GB2312" w:cs="仿宋_GB2312"/>
          <w:b w:val="0"/>
          <w:bCs w:val="0"/>
          <w:color w:val="auto"/>
          <w:sz w:val="32"/>
          <w:szCs w:val="32"/>
          <w:highlight w:val="none"/>
        </w:rPr>
        <w:t>内与我局签订《国有建设用地使用权出让合同》。</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十一、竞买保证金退还或转付成交价款</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签订交易合同，竞得人</w:t>
      </w:r>
      <w:r>
        <w:rPr>
          <w:rFonts w:hint="eastAsia" w:ascii="仿宋_GB2312" w:hAnsi="仿宋_GB2312" w:eastAsia="仿宋_GB2312" w:cs="仿宋_GB2312"/>
          <w:b w:val="0"/>
          <w:bCs w:val="0"/>
          <w:color w:val="auto"/>
          <w:sz w:val="32"/>
          <w:szCs w:val="32"/>
          <w:highlight w:val="none"/>
          <w:shd w:val="clear" w:color="auto" w:fill="auto"/>
          <w:lang w:eastAsia="zh-CN"/>
        </w:rPr>
        <w:t>交</w:t>
      </w:r>
      <w:r>
        <w:rPr>
          <w:rFonts w:hint="eastAsia" w:ascii="仿宋_GB2312" w:hAnsi="仿宋_GB2312" w:eastAsia="仿宋_GB2312" w:cs="仿宋_GB2312"/>
          <w:b w:val="0"/>
          <w:bCs w:val="0"/>
          <w:color w:val="auto"/>
          <w:sz w:val="32"/>
          <w:szCs w:val="32"/>
          <w:highlight w:val="none"/>
          <w:shd w:val="clear" w:color="auto" w:fill="auto"/>
        </w:rPr>
        <w:t>纳</w:t>
      </w:r>
      <w:r>
        <w:rPr>
          <w:rFonts w:hint="eastAsia" w:ascii="仿宋_GB2312" w:hAnsi="仿宋_GB2312" w:eastAsia="仿宋_GB2312" w:cs="仿宋_GB2312"/>
          <w:b w:val="0"/>
          <w:bCs w:val="0"/>
          <w:color w:val="auto"/>
          <w:sz w:val="32"/>
          <w:szCs w:val="32"/>
          <w:highlight w:val="none"/>
        </w:rPr>
        <w:t>的竞买保证金按成交价的</w:t>
      </w:r>
      <w:r>
        <w:rPr>
          <w:rFonts w:hint="eastAsia" w:ascii="仿宋_GB2312" w:hAnsi="仿宋_GB2312" w:eastAsia="仿宋_GB2312" w:cs="仿宋_GB2312"/>
          <w:b w:val="0"/>
          <w:bCs w:val="0"/>
          <w:color w:val="auto"/>
          <w:sz w:val="32"/>
          <w:szCs w:val="32"/>
          <w:highlight w:val="none"/>
          <w:u w:val="single"/>
          <w:lang w:val="en-US" w:eastAsia="zh-CN"/>
        </w:rPr>
        <w:t>20</w:t>
      </w:r>
      <w:r>
        <w:rPr>
          <w:rFonts w:hint="eastAsia" w:ascii="仿宋_GB2312" w:hAnsi="仿宋_GB2312" w:eastAsia="仿宋_GB2312" w:cs="仿宋_GB2312"/>
          <w:b w:val="0"/>
          <w:bCs w:val="0"/>
          <w:color w:val="auto"/>
          <w:sz w:val="32"/>
          <w:szCs w:val="32"/>
          <w:highlight w:val="none"/>
        </w:rPr>
        <w:t>%转作受让宗地的定金。如竞买保证金不足以缴纳定金，不足部分在交易系统确定成交之日起5个工作日内补齐；如竞买保证金转作定金后有剩余，余额转作宗地成交价款，定金可抵作宗地成交价款。</w:t>
      </w:r>
    </w:p>
    <w:p>
      <w:pPr>
        <w:pStyle w:val="4"/>
        <w:keepNext w:val="0"/>
        <w:keepLines w:val="0"/>
        <w:pageBreakBefore w:val="0"/>
        <w:kinsoku/>
        <w:wordWrap/>
        <w:overflowPunct/>
        <w:topLinePunct w:val="0"/>
        <w:autoSpaceDE/>
        <w:autoSpaceDN/>
        <w:bidi w:val="0"/>
        <w:spacing w:line="44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未竞得人交纳的竞买保证金于电子挂牌交易活动结束之日起带齐相关资料（《保证金到账通知书》及进账单等）到本分中心退还保证金，不计利息。</w:t>
      </w:r>
    </w:p>
    <w:p>
      <w:pPr>
        <w:pStyle w:val="4"/>
        <w:keepNext w:val="0"/>
        <w:keepLines w:val="0"/>
        <w:pageBreakBefore w:val="0"/>
        <w:kinsoku/>
        <w:wordWrap/>
        <w:overflowPunct/>
        <w:topLinePunct w:val="0"/>
        <w:autoSpaceDE/>
        <w:autoSpaceDN/>
        <w:bidi w:val="0"/>
        <w:spacing w:line="44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竞得人交纳的竞买保证金转付成交价款，竞得人应带齐如下相关资料到交易中心办理转付成交价款手续：</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保证金到账通知书；</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竞价结果通知书；</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保证金转账凭证。</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二</w:t>
      </w:r>
      <w:r>
        <w:rPr>
          <w:rFonts w:hint="eastAsia" w:ascii="仿宋_GB2312" w:hAnsi="仿宋_GB2312" w:eastAsia="仿宋_GB2312" w:cs="仿宋_GB2312"/>
          <w:b w:val="0"/>
          <w:bCs w:val="0"/>
          <w:color w:val="auto"/>
          <w:sz w:val="32"/>
          <w:szCs w:val="32"/>
          <w:highlight w:val="none"/>
        </w:rPr>
        <w:t>、成交价款支付方式及期限</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土地成交价款须以人民币支付,竞得人在签订出让合同之日起</w:t>
      </w:r>
      <w:r>
        <w:rPr>
          <w:rFonts w:hint="eastAsia" w:ascii="仿宋_GB2312" w:hAnsi="仿宋_GB2312" w:eastAsia="仿宋_GB2312" w:cs="仿宋_GB2312"/>
          <w:b w:val="0"/>
          <w:bCs w:val="0"/>
          <w:color w:val="auto"/>
          <w:sz w:val="32"/>
          <w:szCs w:val="32"/>
          <w:highlight w:val="none"/>
          <w:u w:val="single"/>
          <w:lang w:val="en-US" w:eastAsia="zh-CN"/>
        </w:rPr>
        <w:t>30</w:t>
      </w:r>
      <w:r>
        <w:rPr>
          <w:rFonts w:hint="eastAsia" w:ascii="仿宋_GB2312" w:hAnsi="仿宋_GB2312" w:eastAsia="仿宋_GB2312" w:cs="仿宋_GB2312"/>
          <w:b w:val="0"/>
          <w:bCs w:val="0"/>
          <w:color w:val="auto"/>
          <w:sz w:val="32"/>
          <w:szCs w:val="32"/>
          <w:highlight w:val="none"/>
        </w:rPr>
        <w:t>日内一次性付清全部成交价款。</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、违规责任</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不符合竞买资格条件的；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提供虚假文件材料，隐瞒重要事实的；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采取行贿、恶意串通等非法手段竞得的；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无正当理由逾期或拒绝签订成交确认书的；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无正当理由逾期或拒绝签订交易合同的。</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44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（一）本宗地网上挂牌出让的详细资料和具体要求，见交易中心网上挂牌交易系统（https://www.hzgtjy.com/）。申请人可在网上挂牌交易系统下载挂牌出让公告、须知及相关交易文件。</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（二）有意竞买者可以自行到地块现场踏勘（可在网上挂牌交易系统查阅位置图和现状图）。</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4"/>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（四）地块动工竣工时间及地块交付时间</w:t>
      </w:r>
    </w:p>
    <w:p>
      <w:pPr>
        <w:pStyle w:val="4"/>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地块动工时间为地块交付之日起一年内，竣工时间为动工之日起三年内（因不可抗拒因素除外）；</w:t>
      </w:r>
    </w:p>
    <w:p>
      <w:pPr>
        <w:pStyle w:val="4"/>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竞得人在付清地价款后</w:t>
      </w:r>
      <w:r>
        <w:rPr>
          <w:rFonts w:hint="eastAsia" w:ascii="仿宋_GB2312" w:hAnsi="仿宋_GB2312" w:eastAsia="仿宋_GB2312" w:cs="仿宋_GB2312"/>
          <w:b w:val="0"/>
          <w:bCs w:val="0"/>
          <w:color w:val="auto"/>
          <w:sz w:val="32"/>
          <w:szCs w:val="32"/>
          <w:highlight w:val="none"/>
          <w:lang w:val="en-US" w:eastAsia="zh-CN"/>
        </w:rPr>
        <w:t>30日</w:t>
      </w:r>
      <w:r>
        <w:rPr>
          <w:rFonts w:hint="eastAsia" w:ascii="仿宋_GB2312" w:hAnsi="仿宋_GB2312" w:eastAsia="仿宋_GB2312" w:cs="仿宋_GB2312"/>
          <w:b w:val="0"/>
          <w:bCs w:val="0"/>
          <w:color w:val="auto"/>
          <w:sz w:val="32"/>
          <w:szCs w:val="32"/>
          <w:highlight w:val="none"/>
        </w:rPr>
        <w:t>内办理交地手续，凭《</w:t>
      </w:r>
      <w:r>
        <w:rPr>
          <w:rFonts w:hint="eastAsia" w:ascii="仿宋_GB2312" w:hAnsi="仿宋_GB2312" w:eastAsia="仿宋_GB2312" w:cs="仿宋_GB2312"/>
          <w:b w:val="0"/>
          <w:bCs w:val="0"/>
          <w:color w:val="auto"/>
          <w:sz w:val="32"/>
          <w:szCs w:val="32"/>
          <w:highlight w:val="none"/>
          <w:lang w:eastAsia="zh-CN"/>
        </w:rPr>
        <w:t>成交</w:t>
      </w:r>
      <w:r>
        <w:rPr>
          <w:rFonts w:hint="eastAsia" w:ascii="仿宋_GB2312" w:hAnsi="仿宋_GB2312" w:eastAsia="仿宋_GB2312" w:cs="仿宋_GB2312"/>
          <w:b w:val="0"/>
          <w:bCs w:val="0"/>
          <w:color w:val="auto"/>
          <w:sz w:val="32"/>
          <w:szCs w:val="32"/>
          <w:highlight w:val="none"/>
        </w:rPr>
        <w:t>确认书》、《出让合同》和地价款交款凭证等申请办理土地初始登记，领取《不动产权证书》。</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（五）土地开发及使用规定</w:t>
      </w:r>
    </w:p>
    <w:p>
      <w:pPr>
        <w:pStyle w:val="2"/>
        <w:numPr>
          <w:ilvl w:val="0"/>
          <w:numId w:val="0"/>
        </w:numPr>
        <w:spacing w:line="44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竞得人在用地红线内开发建设必须按《建设用地规划设计条件》的规划控制指标要求及有关规定进行规划设计，配建相关配套设施。</w:t>
      </w:r>
    </w:p>
    <w:p>
      <w:pPr>
        <w:keepNext w:val="0"/>
        <w:keepLines w:val="0"/>
        <w:pageBreakBefore w:val="0"/>
        <w:widowControl w:val="0"/>
        <w:kinsoku/>
        <w:wordWrap/>
        <w:overflowPunct/>
        <w:topLinePunct w:val="0"/>
        <w:autoSpaceDE/>
        <w:autoSpaceDN/>
        <w:bidi w:val="0"/>
        <w:adjustRightInd/>
        <w:snapToGrid/>
        <w:spacing w:line="440" w:lineRule="exact"/>
        <w:ind w:leftChars="0"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2、该宗地块所经营的产业类型为电线、电缆制造项目；投资强度需不低于人民币4950元/平方米，自土地交付之日起第五个自然年全面达产，达产后单位产值不低于人民币9900元/平方米/年、单位税收贡献不低于人民币495元/平方米/年，其中土地产出率及税费产出是否达标以税务部门及相关主管部门核定的为准。竞得土地后3个工作日内（签订成交确认书前）与惠州产业转移工业园管委会签订《地块建设和使用监管协议书》，由惠州产业转移工业园管委会对项目用地实施监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3、竞得人在签订《国有建设用地使用权出让合同》前，须向县自然资源局提交《产业发展承诺书》作为《国有建设用地使用权出让合同》的附件。</w:t>
      </w:r>
    </w:p>
    <w:p>
      <w:pPr>
        <w:keepNext w:val="0"/>
        <w:keepLines w:val="0"/>
        <w:pageBreakBefore w:val="0"/>
        <w:numPr>
          <w:ilvl w:val="0"/>
          <w:numId w:val="0"/>
        </w:numPr>
        <w:kinsoku/>
        <w:wordWrap/>
        <w:overflowPunct/>
        <w:topLinePunct w:val="0"/>
        <w:autoSpaceDE/>
        <w:autoSpaceDN/>
        <w:bidi w:val="0"/>
        <w:spacing w:line="440" w:lineRule="exact"/>
        <w:ind w:leftChars="200" w:firstLine="320" w:firstLineChars="1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十五、</w:t>
      </w:r>
      <w:r>
        <w:rPr>
          <w:rFonts w:hint="eastAsia" w:ascii="仿宋_GB2312" w:hAnsi="仿宋_GB2312" w:eastAsia="仿宋_GB2312" w:cs="仿宋_GB2312"/>
          <w:b w:val="0"/>
          <w:bCs w:val="0"/>
          <w:color w:val="auto"/>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出让方：</w:t>
      </w:r>
      <w:r>
        <w:rPr>
          <w:rFonts w:hint="eastAsia" w:ascii="仿宋_GB2312" w:hAnsi="仿宋_GB2312" w:eastAsia="仿宋_GB2312" w:cs="仿宋_GB2312"/>
          <w:i w:val="0"/>
          <w:caps w:val="0"/>
          <w:color w:val="auto"/>
          <w:spacing w:val="0"/>
          <w:sz w:val="32"/>
          <w:szCs w:val="32"/>
          <w:highlight w:val="none"/>
          <w:shd w:val="clear" w:color="auto" w:fill="FFFFFF"/>
        </w:rPr>
        <w:t>惠州市龙门县自然资源局</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联系</w:t>
      </w:r>
      <w:r>
        <w:rPr>
          <w:rFonts w:hint="eastAsia" w:ascii="仿宋_GB2312" w:hAnsi="仿宋_GB2312" w:eastAsia="仿宋_GB2312" w:cs="仿宋_GB2312"/>
          <w:i w:val="0"/>
          <w:caps w:val="0"/>
          <w:color w:val="auto"/>
          <w:spacing w:val="0"/>
          <w:sz w:val="32"/>
          <w:szCs w:val="32"/>
          <w:highlight w:val="none"/>
          <w:shd w:val="clear" w:color="auto" w:fill="FFFFFF"/>
        </w:rPr>
        <w:t>地址：惠州市龙门县龙新公路西埔路段</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联系人：</w:t>
      </w:r>
      <w:r>
        <w:rPr>
          <w:rFonts w:hint="eastAsia" w:ascii="仿宋_GB2312" w:hAnsi="仿宋_GB2312" w:eastAsia="仿宋_GB2312" w:cs="仿宋_GB2312"/>
          <w:i w:val="0"/>
          <w:caps w:val="0"/>
          <w:color w:val="auto"/>
          <w:spacing w:val="0"/>
          <w:sz w:val="32"/>
          <w:szCs w:val="32"/>
          <w:highlight w:val="none"/>
          <w:shd w:val="clear" w:color="auto" w:fill="FFFFFF"/>
          <w:lang w:eastAsia="zh-CN"/>
        </w:rPr>
        <w:t>钟先生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联系电话：</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0752</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7783681</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交易机构：</w:t>
      </w:r>
      <w:r>
        <w:rPr>
          <w:rFonts w:hint="eastAsia" w:ascii="仿宋_GB2312" w:hAnsi="仿宋_GB2312" w:eastAsia="仿宋_GB2312" w:cs="仿宋_GB2312"/>
          <w:i w:val="0"/>
          <w:caps w:val="0"/>
          <w:color w:val="auto"/>
          <w:spacing w:val="0"/>
          <w:sz w:val="32"/>
          <w:szCs w:val="32"/>
          <w:highlight w:val="none"/>
          <w:shd w:val="clear" w:color="auto" w:fill="FFFFFF"/>
        </w:rPr>
        <w:t>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联系</w:t>
      </w:r>
      <w:r>
        <w:rPr>
          <w:rFonts w:hint="eastAsia" w:ascii="仿宋_GB2312" w:hAnsi="仿宋_GB2312" w:eastAsia="仿宋_GB2312" w:cs="仿宋_GB2312"/>
          <w:i w:val="0"/>
          <w:caps w:val="0"/>
          <w:color w:val="auto"/>
          <w:spacing w:val="0"/>
          <w:sz w:val="32"/>
          <w:szCs w:val="32"/>
          <w:highlight w:val="none"/>
          <w:shd w:val="clear" w:color="auto" w:fill="FFFFFF"/>
        </w:rPr>
        <w:t>地址：广东省惠州市龙门县体育西路6号城投大厦二楼惠州市公共资源交易中心龙门分中心。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联系人：陈先生</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谢小姐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联系电话：（0752）7988083</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注：本公告同时在下列网站及</w:t>
      </w:r>
      <w:r>
        <w:rPr>
          <w:rFonts w:hint="eastAsia" w:ascii="仿宋_GB2312" w:hAnsi="仿宋_GB2312" w:eastAsia="仿宋_GB2312" w:cs="仿宋_GB2312"/>
          <w:b w:val="0"/>
          <w:bCs w:val="0"/>
          <w:color w:val="auto"/>
          <w:sz w:val="32"/>
          <w:szCs w:val="32"/>
          <w:highlight w:val="none"/>
          <w:lang w:val="en-US" w:eastAsia="zh-CN"/>
        </w:rPr>
        <w:t>报刊</w:t>
      </w:r>
      <w:r>
        <w:rPr>
          <w:rFonts w:hint="eastAsia" w:ascii="仿宋_GB2312" w:hAnsi="仿宋_GB2312" w:eastAsia="仿宋_GB2312" w:cs="仿宋_GB2312"/>
          <w:b w:val="0"/>
          <w:bCs w:val="0"/>
          <w:color w:val="auto"/>
          <w:sz w:val="32"/>
          <w:szCs w:val="32"/>
          <w:highlight w:val="none"/>
        </w:rPr>
        <w:t>发布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中国土地市场网: http://www.landchina.com</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广东</w:t>
      </w:r>
      <w:r>
        <w:rPr>
          <w:rFonts w:hint="eastAsia" w:ascii="仿宋_GB2312" w:hAnsi="仿宋_GB2312" w:eastAsia="仿宋_GB2312" w:cs="仿宋_GB2312"/>
          <w:i w:val="0"/>
          <w:caps w:val="0"/>
          <w:color w:val="auto"/>
          <w:spacing w:val="0"/>
          <w:sz w:val="32"/>
          <w:szCs w:val="32"/>
          <w:highlight w:val="none"/>
          <w:shd w:val="clear" w:color="auto" w:fill="FFFFFF"/>
        </w:rPr>
        <w:t>省公共资源交易平台</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https://ygp.gdzwfw.gov.cn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广东省自然资源厅：http://nr.gd.gov.cn/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龙门县人民政府网:（龙门县自然资源局、惠州市公共资源交易中心龙门分中心）：http://www.longmen.gov.cn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惠州市公共资源交易中心网：http://zyjy.huizhou.gov.cn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惠州日报</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联系电话：0752-7121029</w:t>
      </w:r>
    </w:p>
    <w:p>
      <w:pPr>
        <w:pStyle w:val="4"/>
        <w:keepNext w:val="0"/>
        <w:keepLines w:val="0"/>
        <w:pageBreakBefore w:val="0"/>
        <w:kinsoku/>
        <w:wordWrap/>
        <w:overflowPunct/>
        <w:topLinePunct w:val="0"/>
        <w:autoSpaceDE/>
        <w:autoSpaceDN/>
        <w:bidi w:val="0"/>
        <w:spacing w:line="440" w:lineRule="exact"/>
        <w:ind w:firstLine="4480" w:firstLineChars="1400"/>
        <w:textAlignment w:val="auto"/>
        <w:rPr>
          <w:rFonts w:hint="eastAsia" w:ascii="仿宋_GB2312" w:hAnsi="仿宋_GB2312" w:eastAsia="仿宋_GB2312" w:cs="仿宋_GB2312"/>
          <w:b w:val="0"/>
          <w:bCs w:val="0"/>
          <w:color w:val="auto"/>
          <w:sz w:val="32"/>
          <w:szCs w:val="32"/>
          <w:highlight w:val="none"/>
          <w:u w:val="none"/>
          <w:lang w:val="en-US" w:eastAsia="zh-CN"/>
        </w:rPr>
      </w:pPr>
    </w:p>
    <w:p>
      <w:pPr>
        <w:pStyle w:val="4"/>
        <w:keepNext w:val="0"/>
        <w:keepLines w:val="0"/>
        <w:pageBreakBefore w:val="0"/>
        <w:kinsoku/>
        <w:wordWrap/>
        <w:overflowPunct/>
        <w:topLinePunct w:val="0"/>
        <w:autoSpaceDE/>
        <w:autoSpaceDN/>
        <w:bidi w:val="0"/>
        <w:spacing w:line="440" w:lineRule="exact"/>
        <w:ind w:firstLine="4480" w:firstLineChars="1400"/>
        <w:textAlignment w:val="auto"/>
        <w:rPr>
          <w:rFonts w:hint="eastAsia" w:ascii="仿宋_GB2312" w:hAnsi="仿宋_GB2312" w:eastAsia="仿宋_GB2312" w:cs="仿宋_GB2312"/>
          <w:b w:val="0"/>
          <w:bCs w:val="0"/>
          <w:color w:val="auto"/>
          <w:sz w:val="32"/>
          <w:szCs w:val="32"/>
          <w:highlight w:val="none"/>
          <w:u w:val="none"/>
          <w:lang w:val="en-US" w:eastAsia="zh-CN"/>
        </w:rPr>
      </w:pPr>
    </w:p>
    <w:p>
      <w:pPr>
        <w:pStyle w:val="4"/>
        <w:keepNext w:val="0"/>
        <w:keepLines w:val="0"/>
        <w:pageBreakBefore w:val="0"/>
        <w:kinsoku/>
        <w:wordWrap/>
        <w:overflowPunct/>
        <w:topLinePunct w:val="0"/>
        <w:autoSpaceDE/>
        <w:autoSpaceDN/>
        <w:bidi w:val="0"/>
        <w:spacing w:line="440" w:lineRule="exact"/>
        <w:ind w:firstLine="4480" w:firstLineChars="1400"/>
        <w:textAlignment w:val="auto"/>
        <w:rPr>
          <w:rFonts w:hint="eastAsia" w:ascii="仿宋_GB2312" w:hAnsi="仿宋_GB2312" w:eastAsia="仿宋_GB2312" w:cs="仿宋_GB2312"/>
          <w:b w:val="0"/>
          <w:bCs w:val="0"/>
          <w:color w:val="auto"/>
          <w:sz w:val="32"/>
          <w:szCs w:val="32"/>
          <w:highlight w:val="none"/>
          <w:u w:val="none"/>
          <w:lang w:val="en-US" w:eastAsia="zh-CN"/>
        </w:rPr>
      </w:pPr>
    </w:p>
    <w:p>
      <w:pPr>
        <w:pStyle w:val="4"/>
        <w:keepNext w:val="0"/>
        <w:keepLines w:val="0"/>
        <w:pageBreakBefore w:val="0"/>
        <w:kinsoku/>
        <w:wordWrap/>
        <w:overflowPunct/>
        <w:topLinePunct w:val="0"/>
        <w:autoSpaceDE/>
        <w:autoSpaceDN/>
        <w:bidi w:val="0"/>
        <w:spacing w:line="440" w:lineRule="exact"/>
        <w:ind w:firstLine="4800" w:firstLineChars="1500"/>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color w:val="auto"/>
          <w:sz w:val="32"/>
          <w:szCs w:val="32"/>
          <w:highlight w:val="none"/>
          <w:u w:val="none"/>
          <w:lang w:val="en-US" w:eastAsia="zh-CN"/>
        </w:rPr>
        <w:t>龙门县</w:t>
      </w:r>
      <w:r>
        <w:rPr>
          <w:rFonts w:hint="eastAsia" w:ascii="仿宋_GB2312" w:hAnsi="仿宋_GB2312" w:eastAsia="仿宋_GB2312" w:cs="仿宋_GB2312"/>
          <w:b w:val="0"/>
          <w:bCs w:val="0"/>
          <w:color w:val="auto"/>
          <w:sz w:val="32"/>
          <w:szCs w:val="32"/>
          <w:highlight w:val="none"/>
        </w:rPr>
        <w:t>自然资源局</w:t>
      </w:r>
      <w:r>
        <w:rPr>
          <w:rFonts w:hint="eastAsia" w:ascii="仿宋_GB2312" w:hAnsi="仿宋_GB2312" w:eastAsia="仿宋_GB2312" w:cs="仿宋_GB2312"/>
          <w:b w:val="0"/>
          <w:bCs w:val="0"/>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40" w:lineRule="exact"/>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none"/>
          <w:lang w:val="en-US" w:eastAsia="zh-CN"/>
        </w:rPr>
        <w:t>27</w:t>
      </w:r>
      <w:r>
        <w:rPr>
          <w:rFonts w:hint="eastAsia" w:ascii="仿宋_GB2312" w:hAnsi="仿宋_GB2312" w:eastAsia="仿宋_GB2312" w:cs="仿宋_GB2312"/>
          <w:b w:val="0"/>
          <w:bCs w:val="0"/>
          <w:color w:val="auto"/>
          <w:sz w:val="32"/>
          <w:szCs w:val="32"/>
          <w:highlight w:val="none"/>
        </w:rPr>
        <w:t>日</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2"/>
        <w:keepNext w:val="0"/>
        <w:keepLines w:val="0"/>
        <w:pageBreakBefore w:val="0"/>
        <w:kinsoku/>
        <w:wordWrap/>
        <w:overflowPunct/>
        <w:topLinePunct w:val="0"/>
        <w:bidi w:val="0"/>
        <w:spacing w:line="440" w:lineRule="exact"/>
        <w:rPr>
          <w:rFonts w:hint="eastAsia"/>
          <w:color w:val="auto"/>
          <w:highlight w:val="none"/>
        </w:rPr>
      </w:pPr>
    </w:p>
    <w:p>
      <w:pPr>
        <w:pStyle w:val="4"/>
        <w:keepNext w:val="0"/>
        <w:keepLines w:val="0"/>
        <w:pageBreakBefore w:val="0"/>
        <w:kinsoku/>
        <w:wordWrap/>
        <w:overflowPunct/>
        <w:topLinePunct w:val="0"/>
        <w:bidi w:val="0"/>
        <w:spacing w:line="440" w:lineRule="exact"/>
        <w:rPr>
          <w:color w:val="auto"/>
          <w:highlight w:val="none"/>
        </w:rPr>
      </w:pPr>
    </w:p>
    <w:p>
      <w:pPr>
        <w:keepNext w:val="0"/>
        <w:keepLines w:val="0"/>
        <w:pageBreakBefore w:val="0"/>
        <w:kinsoku/>
        <w:wordWrap/>
        <w:overflowPunct/>
        <w:topLinePunct w:val="0"/>
        <w:bidi w:val="0"/>
        <w:spacing w:line="440" w:lineRule="exact"/>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附表：</w:t>
      </w:r>
    </w:p>
    <w:p>
      <w:pPr>
        <w:keepNext w:val="0"/>
        <w:keepLines w:val="0"/>
        <w:pageBreakBefore w:val="0"/>
        <w:tabs>
          <w:tab w:val="left" w:pos="9720"/>
        </w:tabs>
        <w:kinsoku/>
        <w:wordWrap/>
        <w:overflowPunct/>
        <w:topLinePunct w:val="0"/>
        <w:bidi w:val="0"/>
        <w:spacing w:line="440" w:lineRule="exact"/>
        <w:jc w:val="center"/>
        <w:rPr>
          <w:rFonts w:ascii="仿宋_GB2312" w:hAnsi="宋体" w:eastAsia="仿宋_GB2312"/>
          <w:b w:val="0"/>
          <w:bCs w:val="0"/>
          <w:color w:val="auto"/>
          <w:sz w:val="32"/>
          <w:szCs w:val="32"/>
          <w:highlight w:val="none"/>
        </w:rPr>
      </w:pPr>
      <w:r>
        <w:rPr>
          <w:rFonts w:hint="eastAsia" w:ascii="仿宋_GB2312" w:hAnsi="宋体" w:eastAsia="仿宋_GB2312"/>
          <w:b w:val="0"/>
          <w:bCs w:val="0"/>
          <w:color w:val="auto"/>
          <w:sz w:val="32"/>
          <w:szCs w:val="32"/>
          <w:highlight w:val="none"/>
        </w:rPr>
        <w:t>网上挂牌出让地块基本情况及规划建设指标</w:t>
      </w:r>
    </w:p>
    <w:tbl>
      <w:tblPr>
        <w:tblStyle w:val="9"/>
        <w:tblpPr w:leftFromText="180" w:rightFromText="180" w:vertAnchor="text" w:tblpXSpec="center" w:tblpY="1"/>
        <w:tblOverlap w:val="never"/>
        <w:tblW w:w="14707" w:type="dxa"/>
        <w:tblInd w:w="-2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867"/>
        <w:gridCol w:w="1016"/>
        <w:gridCol w:w="734"/>
        <w:gridCol w:w="1216"/>
        <w:gridCol w:w="1184"/>
        <w:gridCol w:w="900"/>
        <w:gridCol w:w="750"/>
        <w:gridCol w:w="1250"/>
        <w:gridCol w:w="1000"/>
        <w:gridCol w:w="733"/>
        <w:gridCol w:w="1750"/>
        <w:gridCol w:w="1950"/>
        <w:gridCol w:w="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28" w:type="dxa"/>
            <w:vMerge w:val="restart"/>
            <w:vAlign w:val="center"/>
          </w:tcPr>
          <w:p>
            <w:pPr>
              <w:keepNext w:val="0"/>
              <w:keepLines w:val="0"/>
              <w:pageBreakBefore w:val="0"/>
              <w:kinsoku/>
              <w:wordWrap/>
              <w:overflowPunct/>
              <w:topLinePunct w:val="0"/>
              <w:bidi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挂牌地块编号</w:t>
            </w:r>
          </w:p>
        </w:tc>
        <w:tc>
          <w:tcPr>
            <w:tcW w:w="867" w:type="dxa"/>
            <w:vMerge w:val="restart"/>
            <w:vAlign w:val="center"/>
          </w:tcPr>
          <w:p>
            <w:pPr>
              <w:keepNext w:val="0"/>
              <w:keepLines w:val="0"/>
              <w:pageBreakBefore w:val="0"/>
              <w:kinsoku/>
              <w:wordWrap/>
              <w:overflowPunct/>
              <w:topLinePunct w:val="0"/>
              <w:bidi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土地</w:t>
            </w:r>
          </w:p>
          <w:p>
            <w:pPr>
              <w:keepNext w:val="0"/>
              <w:keepLines w:val="0"/>
              <w:pageBreakBefore w:val="0"/>
              <w:kinsoku/>
              <w:wordWrap/>
              <w:overflowPunct/>
              <w:topLinePunct w:val="0"/>
              <w:bidi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位置</w:t>
            </w:r>
          </w:p>
        </w:tc>
        <w:tc>
          <w:tcPr>
            <w:tcW w:w="1016" w:type="dxa"/>
            <w:vMerge w:val="restart"/>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用地编号</w:t>
            </w:r>
          </w:p>
        </w:tc>
        <w:tc>
          <w:tcPr>
            <w:tcW w:w="734" w:type="dxa"/>
            <w:vMerge w:val="restart"/>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土地</w:t>
            </w:r>
          </w:p>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用途</w:t>
            </w:r>
          </w:p>
        </w:tc>
        <w:tc>
          <w:tcPr>
            <w:tcW w:w="10733" w:type="dxa"/>
            <w:gridSpan w:val="9"/>
            <w:vAlign w:val="center"/>
          </w:tcPr>
          <w:p>
            <w:pPr>
              <w:keepNext w:val="0"/>
              <w:keepLines w:val="0"/>
              <w:pageBreakBefore w:val="0"/>
              <w:kinsoku/>
              <w:wordWrap/>
              <w:overflowPunct/>
              <w:topLinePunct w:val="0"/>
              <w:bidi w:val="0"/>
              <w:adjustRightInd w:val="0"/>
              <w:snapToGrid w:val="0"/>
              <w:spacing w:line="440" w:lineRule="exact"/>
              <w:ind w:left="26" w:leftChars="-89" w:hanging="213" w:hangingChars="89"/>
              <w:jc w:val="center"/>
              <w:rPr>
                <w:rFonts w:hint="eastAsia"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规划指标要求</w:t>
            </w:r>
          </w:p>
        </w:tc>
        <w:tc>
          <w:tcPr>
            <w:tcW w:w="629" w:type="dxa"/>
            <w:vMerge w:val="restart"/>
            <w:vAlign w:val="center"/>
          </w:tcPr>
          <w:p>
            <w:pPr>
              <w:keepNext w:val="0"/>
              <w:keepLines w:val="0"/>
              <w:pageBreakBefore w:val="0"/>
              <w:kinsoku/>
              <w:wordWrap/>
              <w:overflowPunct/>
              <w:topLinePunct w:val="0"/>
              <w:autoSpaceDE w:val="0"/>
              <w:autoSpaceDN w:val="0"/>
              <w:bidi w:val="0"/>
              <w:adjustRightInd w:val="0"/>
              <w:spacing w:line="440" w:lineRule="exact"/>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728" w:type="dxa"/>
            <w:vMerge w:val="continue"/>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p>
        </w:tc>
        <w:tc>
          <w:tcPr>
            <w:tcW w:w="867" w:type="dxa"/>
            <w:vMerge w:val="continue"/>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p>
        </w:tc>
        <w:tc>
          <w:tcPr>
            <w:tcW w:w="1016" w:type="dxa"/>
            <w:vMerge w:val="continue"/>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p>
        </w:tc>
        <w:tc>
          <w:tcPr>
            <w:tcW w:w="734" w:type="dxa"/>
            <w:vMerge w:val="continue"/>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p>
        </w:tc>
        <w:tc>
          <w:tcPr>
            <w:tcW w:w="1216" w:type="dxa"/>
            <w:vAlign w:val="center"/>
          </w:tcPr>
          <w:p>
            <w:pPr>
              <w:keepNext w:val="0"/>
              <w:keepLines w:val="0"/>
              <w:pageBreakBefore w:val="0"/>
              <w:kinsoku/>
              <w:wordWrap/>
              <w:overflowPunct/>
              <w:topLinePunct w:val="0"/>
              <w:bidi w:val="0"/>
              <w:spacing w:line="440" w:lineRule="exact"/>
              <w:jc w:val="center"/>
              <w:rPr>
                <w:rFonts w:hint="eastAsia" w:ascii="仿宋_GB2312" w:hAnsi="宋体" w:eastAsia="仿宋_GB2312"/>
                <w:b w:val="0"/>
                <w:bCs w:val="0"/>
                <w:color w:val="auto"/>
                <w:sz w:val="24"/>
                <w:szCs w:val="24"/>
                <w:highlight w:val="none"/>
                <w:lang w:eastAsia="zh-CN"/>
              </w:rPr>
            </w:pPr>
            <w:r>
              <w:rPr>
                <w:rFonts w:hint="eastAsia" w:ascii="仿宋_GB2312" w:hAnsi="宋体" w:eastAsia="仿宋_GB2312"/>
                <w:b w:val="0"/>
                <w:bCs w:val="0"/>
                <w:color w:val="auto"/>
                <w:sz w:val="24"/>
                <w:szCs w:val="24"/>
                <w:highlight w:val="none"/>
              </w:rPr>
              <w:t>计算指标用地面积</w:t>
            </w:r>
            <w:r>
              <w:rPr>
                <w:rFonts w:hint="eastAsia" w:ascii="仿宋_GB2312" w:hAnsi="宋体" w:eastAsia="仿宋_GB2312"/>
                <w:b w:val="0"/>
                <w:bCs w:val="0"/>
                <w:color w:val="auto"/>
                <w:sz w:val="24"/>
                <w:szCs w:val="24"/>
                <w:highlight w:val="none"/>
                <w:lang w:eastAsia="zh-CN"/>
              </w:rPr>
              <w:t>（</w:t>
            </w:r>
            <w:r>
              <w:rPr>
                <w:rFonts w:hint="eastAsia" w:ascii="仿宋_GB2312" w:hAnsi="宋体" w:eastAsia="仿宋_GB2312"/>
                <w:b w:val="0"/>
                <w:bCs w:val="0"/>
                <w:color w:val="auto"/>
                <w:sz w:val="24"/>
                <w:szCs w:val="24"/>
                <w:highlight w:val="none"/>
                <w:lang w:val="en-US" w:eastAsia="zh-CN"/>
              </w:rPr>
              <w:t>公顷</w:t>
            </w:r>
            <w:r>
              <w:rPr>
                <w:rFonts w:hint="eastAsia" w:ascii="仿宋_GB2312" w:hAnsi="宋体" w:eastAsia="仿宋_GB2312"/>
                <w:b w:val="0"/>
                <w:bCs w:val="0"/>
                <w:color w:val="auto"/>
                <w:sz w:val="24"/>
                <w:szCs w:val="24"/>
                <w:highlight w:val="none"/>
                <w:lang w:eastAsia="zh-CN"/>
              </w:rPr>
              <w:t>）</w:t>
            </w:r>
          </w:p>
        </w:tc>
        <w:tc>
          <w:tcPr>
            <w:tcW w:w="1184"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hint="eastAsia" w:ascii="仿宋_GB2312" w:hAnsi="宋体" w:eastAsia="仿宋_GB2312"/>
                <w:b w:val="0"/>
                <w:bCs w:val="0"/>
                <w:color w:val="auto"/>
                <w:sz w:val="24"/>
                <w:szCs w:val="24"/>
                <w:highlight w:val="none"/>
                <w:lang w:eastAsia="zh-CN"/>
              </w:rPr>
            </w:pPr>
            <w:r>
              <w:rPr>
                <w:rFonts w:hint="eastAsia" w:ascii="仿宋_GB2312" w:hAnsi="宋体" w:eastAsia="仿宋_GB2312"/>
                <w:b w:val="0"/>
                <w:bCs w:val="0"/>
                <w:color w:val="auto"/>
                <w:sz w:val="24"/>
                <w:szCs w:val="24"/>
                <w:highlight w:val="none"/>
              </w:rPr>
              <w:t>宗地使用权面积</w:t>
            </w:r>
            <w:r>
              <w:rPr>
                <w:rFonts w:hint="eastAsia" w:ascii="仿宋_GB2312" w:hAnsi="宋体" w:eastAsia="仿宋_GB2312"/>
                <w:b w:val="0"/>
                <w:bCs w:val="0"/>
                <w:color w:val="auto"/>
                <w:sz w:val="24"/>
                <w:szCs w:val="24"/>
                <w:highlight w:val="none"/>
                <w:lang w:eastAsia="zh-CN"/>
              </w:rPr>
              <w:t>（</w:t>
            </w:r>
            <w:r>
              <w:rPr>
                <w:rFonts w:hint="eastAsia" w:ascii="仿宋_GB2312" w:hAnsi="宋体" w:eastAsia="仿宋_GB2312"/>
                <w:b w:val="0"/>
                <w:bCs w:val="0"/>
                <w:color w:val="auto"/>
                <w:sz w:val="24"/>
                <w:szCs w:val="24"/>
                <w:highlight w:val="none"/>
                <w:lang w:val="en-US" w:eastAsia="zh-CN"/>
              </w:rPr>
              <w:t>公顷</w:t>
            </w:r>
            <w:r>
              <w:rPr>
                <w:rFonts w:hint="eastAsia" w:ascii="仿宋_GB2312" w:hAnsi="宋体" w:eastAsia="仿宋_GB2312"/>
                <w:b w:val="0"/>
                <w:bCs w:val="0"/>
                <w:color w:val="auto"/>
                <w:sz w:val="24"/>
                <w:szCs w:val="24"/>
                <w:highlight w:val="none"/>
                <w:lang w:eastAsia="zh-CN"/>
              </w:rPr>
              <w:t>）</w:t>
            </w:r>
          </w:p>
        </w:tc>
        <w:tc>
          <w:tcPr>
            <w:tcW w:w="900"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建筑密度</w:t>
            </w:r>
          </w:p>
        </w:tc>
        <w:tc>
          <w:tcPr>
            <w:tcW w:w="750"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容积率</w:t>
            </w:r>
          </w:p>
        </w:tc>
        <w:tc>
          <w:tcPr>
            <w:tcW w:w="1250" w:type="dxa"/>
            <w:vAlign w:val="center"/>
          </w:tcPr>
          <w:p>
            <w:pPr>
              <w:keepNext w:val="0"/>
              <w:keepLines w:val="0"/>
              <w:pageBreakBefore w:val="0"/>
              <w:kinsoku/>
              <w:wordWrap/>
              <w:overflowPunct/>
              <w:topLinePunct w:val="0"/>
              <w:bidi w:val="0"/>
              <w:spacing w:line="440" w:lineRule="exact"/>
              <w:ind w:left="67" w:right="-53" w:rightChars="-25" w:hanging="50" w:hangingChars="21"/>
              <w:jc w:val="center"/>
              <w:rPr>
                <w:rFonts w:hint="eastAsia" w:ascii="仿宋_GB2312" w:hAnsi="宋体" w:eastAsia="仿宋_GB2312"/>
                <w:b w:val="0"/>
                <w:bCs w:val="0"/>
                <w:color w:val="auto"/>
                <w:sz w:val="24"/>
                <w:szCs w:val="24"/>
                <w:highlight w:val="none"/>
                <w:lang w:eastAsia="zh-CN"/>
              </w:rPr>
            </w:pPr>
            <w:r>
              <w:rPr>
                <w:rFonts w:hint="eastAsia" w:ascii="仿宋_GB2312" w:hAnsi="宋体" w:eastAsia="仿宋_GB2312"/>
                <w:b w:val="0"/>
                <w:bCs w:val="0"/>
                <w:color w:val="auto"/>
                <w:sz w:val="24"/>
                <w:szCs w:val="24"/>
                <w:highlight w:val="none"/>
              </w:rPr>
              <w:t>计容积率</w:t>
            </w:r>
            <w:r>
              <w:rPr>
                <w:rFonts w:hint="eastAsia" w:ascii="仿宋_GB2312" w:hAnsi="宋体" w:eastAsia="仿宋_GB2312"/>
                <w:b w:val="0"/>
                <w:bCs w:val="0"/>
                <w:color w:val="auto"/>
                <w:sz w:val="24"/>
                <w:szCs w:val="24"/>
                <w:highlight w:val="none"/>
                <w:lang w:val="en-US" w:eastAsia="zh-CN"/>
              </w:rPr>
              <w:t xml:space="preserve"> </w:t>
            </w:r>
            <w:r>
              <w:rPr>
                <w:rFonts w:hint="eastAsia" w:ascii="仿宋_GB2312" w:hAnsi="宋体" w:eastAsia="仿宋_GB2312"/>
                <w:b w:val="0"/>
                <w:bCs w:val="0"/>
                <w:color w:val="auto"/>
                <w:sz w:val="24"/>
                <w:szCs w:val="24"/>
                <w:highlight w:val="none"/>
              </w:rPr>
              <w:t>建筑面积</w:t>
            </w:r>
            <w:r>
              <w:rPr>
                <w:rFonts w:hint="eastAsia" w:ascii="仿宋_GB2312" w:hAnsi="宋体" w:eastAsia="仿宋_GB2312"/>
                <w:b w:val="0"/>
                <w:bCs w:val="0"/>
                <w:color w:val="auto"/>
                <w:sz w:val="24"/>
                <w:szCs w:val="24"/>
                <w:highlight w:val="none"/>
                <w:lang w:eastAsia="zh-CN"/>
              </w:rPr>
              <w:t>（</w:t>
            </w:r>
            <w:r>
              <w:rPr>
                <w:rFonts w:hint="eastAsia" w:ascii="仿宋_GB2312" w:hAnsi="宋体" w:eastAsia="仿宋_GB2312"/>
                <w:b w:val="0"/>
                <w:bCs w:val="0"/>
                <w:color w:val="auto"/>
                <w:sz w:val="24"/>
                <w:szCs w:val="24"/>
                <w:highlight w:val="none"/>
                <w:lang w:val="en-US" w:eastAsia="zh-CN"/>
              </w:rPr>
              <w:t>㎡</w:t>
            </w:r>
            <w:r>
              <w:rPr>
                <w:rFonts w:hint="eastAsia" w:ascii="仿宋_GB2312" w:hAnsi="宋体" w:eastAsia="仿宋_GB2312"/>
                <w:b w:val="0"/>
                <w:bCs w:val="0"/>
                <w:color w:val="auto"/>
                <w:sz w:val="24"/>
                <w:szCs w:val="24"/>
                <w:highlight w:val="none"/>
                <w:lang w:eastAsia="zh-CN"/>
              </w:rPr>
              <w:t>）</w:t>
            </w:r>
          </w:p>
        </w:tc>
        <w:tc>
          <w:tcPr>
            <w:tcW w:w="1000"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hint="eastAsia" w:ascii="仿宋_GB2312" w:hAnsi="宋体" w:eastAsia="仿宋_GB2312"/>
                <w:b w:val="0"/>
                <w:bCs w:val="0"/>
                <w:color w:val="auto"/>
                <w:sz w:val="24"/>
                <w:szCs w:val="24"/>
                <w:highlight w:val="none"/>
                <w:lang w:eastAsia="zh-CN"/>
              </w:rPr>
            </w:pPr>
            <w:r>
              <w:rPr>
                <w:rFonts w:hint="eastAsia" w:ascii="仿宋_GB2312" w:hAnsi="宋体" w:eastAsia="仿宋_GB2312"/>
                <w:b w:val="0"/>
                <w:bCs w:val="0"/>
                <w:color w:val="auto"/>
                <w:sz w:val="24"/>
                <w:szCs w:val="24"/>
                <w:highlight w:val="none"/>
              </w:rPr>
              <w:t>绿地率</w:t>
            </w:r>
            <w:r>
              <w:rPr>
                <w:rFonts w:hint="eastAsia" w:ascii="仿宋_GB2312" w:hAnsi="宋体" w:eastAsia="仿宋_GB2312"/>
                <w:b w:val="0"/>
                <w:bCs w:val="0"/>
                <w:color w:val="auto"/>
                <w:sz w:val="24"/>
                <w:szCs w:val="24"/>
                <w:highlight w:val="none"/>
                <w:lang w:eastAsia="zh-CN"/>
              </w:rPr>
              <w:t>（</w:t>
            </w:r>
            <w:r>
              <w:rPr>
                <w:rFonts w:hint="eastAsia" w:ascii="仿宋_GB2312" w:hAnsi="宋体" w:eastAsia="仿宋_GB2312"/>
                <w:b w:val="0"/>
                <w:bCs w:val="0"/>
                <w:color w:val="auto"/>
                <w:sz w:val="24"/>
                <w:szCs w:val="24"/>
                <w:highlight w:val="none"/>
                <w:lang w:val="en-US" w:eastAsia="zh-CN"/>
              </w:rPr>
              <w:t>％</w:t>
            </w:r>
            <w:r>
              <w:rPr>
                <w:rFonts w:hint="eastAsia" w:ascii="仿宋_GB2312" w:hAnsi="宋体" w:eastAsia="仿宋_GB2312"/>
                <w:b w:val="0"/>
                <w:bCs w:val="0"/>
                <w:color w:val="auto"/>
                <w:sz w:val="24"/>
                <w:szCs w:val="24"/>
                <w:highlight w:val="none"/>
                <w:lang w:eastAsia="zh-CN"/>
              </w:rPr>
              <w:t>）</w:t>
            </w:r>
          </w:p>
        </w:tc>
        <w:tc>
          <w:tcPr>
            <w:tcW w:w="733"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hint="eastAsia" w:ascii="仿宋_GB2312" w:hAnsi="宋体" w:eastAsia="仿宋_GB2312"/>
                <w:b w:val="0"/>
                <w:bCs w:val="0"/>
                <w:color w:val="auto"/>
                <w:sz w:val="24"/>
                <w:szCs w:val="24"/>
                <w:highlight w:val="none"/>
                <w:lang w:val="en-US" w:eastAsia="zh-CN"/>
              </w:rPr>
            </w:pPr>
            <w:r>
              <w:rPr>
                <w:rFonts w:hint="eastAsia" w:ascii="仿宋_GB2312" w:hAnsi="宋体" w:eastAsia="仿宋_GB2312"/>
                <w:b w:val="0"/>
                <w:bCs w:val="0"/>
                <w:color w:val="auto"/>
                <w:sz w:val="24"/>
                <w:szCs w:val="24"/>
                <w:highlight w:val="none"/>
                <w:lang w:val="en-US" w:eastAsia="zh-CN"/>
              </w:rPr>
              <w:t>建筑高度（米）</w:t>
            </w:r>
          </w:p>
        </w:tc>
        <w:tc>
          <w:tcPr>
            <w:tcW w:w="1750"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机动车停车位（个）</w:t>
            </w:r>
          </w:p>
        </w:tc>
        <w:tc>
          <w:tcPr>
            <w:tcW w:w="1950"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hint="eastAsia" w:ascii="仿宋_GB2312" w:hAnsi="宋体" w:eastAsia="仿宋_GB2312"/>
                <w:b w:val="0"/>
                <w:bCs w:val="0"/>
                <w:color w:val="auto"/>
                <w:sz w:val="24"/>
                <w:szCs w:val="24"/>
                <w:highlight w:val="none"/>
                <w:lang w:eastAsia="zh-CN"/>
              </w:rPr>
            </w:pPr>
            <w:r>
              <w:rPr>
                <w:rFonts w:hint="eastAsia" w:ascii="仿宋_GB2312" w:hAnsi="宋体" w:eastAsia="仿宋_GB2312"/>
                <w:b w:val="0"/>
                <w:bCs w:val="0"/>
                <w:color w:val="auto"/>
                <w:sz w:val="24"/>
                <w:szCs w:val="24"/>
                <w:highlight w:val="none"/>
                <w:lang w:val="en-US" w:eastAsia="zh-CN"/>
              </w:rPr>
              <w:t>其他</w:t>
            </w:r>
          </w:p>
        </w:tc>
        <w:tc>
          <w:tcPr>
            <w:tcW w:w="629" w:type="dxa"/>
            <w:vMerge w:val="continue"/>
            <w:vAlign w:val="center"/>
          </w:tcPr>
          <w:p>
            <w:pPr>
              <w:keepNext w:val="0"/>
              <w:keepLines w:val="0"/>
              <w:pageBreakBefore w:val="0"/>
              <w:kinsoku/>
              <w:wordWrap/>
              <w:overflowPunct/>
              <w:topLinePunct w:val="0"/>
              <w:autoSpaceDE w:val="0"/>
              <w:autoSpaceDN w:val="0"/>
              <w:bidi w:val="0"/>
              <w:adjustRightInd w:val="0"/>
              <w:spacing w:line="440" w:lineRule="exact"/>
              <w:rPr>
                <w:rFonts w:ascii="仿宋_GB2312" w:hAnsi="宋体" w:eastAsia="仿宋_GB2312"/>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728"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both"/>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LM2022-25</w:t>
            </w:r>
          </w:p>
        </w:tc>
        <w:tc>
          <w:tcPr>
            <w:tcW w:w="867"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Times New Roman"/>
                <w:b w:val="0"/>
                <w:bCs w:val="0"/>
                <w:color w:val="auto"/>
                <w:sz w:val="24"/>
                <w:szCs w:val="24"/>
                <w:highlight w:val="none"/>
                <w:lang w:val="en-US"/>
              </w:rPr>
            </w:pPr>
            <w:r>
              <w:rPr>
                <w:rFonts w:hint="eastAsia" w:ascii="仿宋_GB2312" w:hAnsi="宋体" w:eastAsia="仿宋_GB2312" w:cs="Times New Roman"/>
                <w:b w:val="0"/>
                <w:bCs w:val="0"/>
                <w:color w:val="auto"/>
                <w:sz w:val="24"/>
                <w:szCs w:val="24"/>
                <w:highlight w:val="none"/>
                <w:lang w:val="en-US" w:eastAsia="zh-CN"/>
              </w:rPr>
              <w:t>惠州产业转移工业园中心片区</w:t>
            </w:r>
          </w:p>
        </w:tc>
        <w:tc>
          <w:tcPr>
            <w:tcW w:w="1016" w:type="dxa"/>
            <w:vAlign w:val="center"/>
          </w:tcPr>
          <w:p>
            <w:pPr>
              <w:keepNext w:val="0"/>
              <w:keepLines w:val="0"/>
              <w:pageBreakBefore w:val="0"/>
              <w:widowControl/>
              <w:suppressLineNumbers w:val="0"/>
              <w:kinsoku/>
              <w:wordWrap/>
              <w:overflowPunct/>
              <w:topLinePunct w:val="0"/>
              <w:bidi w:val="0"/>
              <w:spacing w:line="440" w:lineRule="exact"/>
              <w:jc w:val="left"/>
              <w:textAlignment w:val="center"/>
              <w:rPr>
                <w:rFonts w:hint="default" w:ascii="仿宋_GB2312" w:hAnsi="宋体" w:eastAsia="仿宋_GB2312" w:cs="仿宋_GB2312"/>
                <w:b w:val="0"/>
                <w:bCs w:val="0"/>
                <w:color w:val="auto"/>
                <w:sz w:val="24"/>
                <w:szCs w:val="24"/>
                <w:highlight w:val="none"/>
                <w:lang w:val="en-US"/>
              </w:rPr>
            </w:pPr>
            <w:r>
              <w:rPr>
                <w:rFonts w:hint="eastAsia"/>
                <w:color w:val="auto"/>
                <w:highlight w:val="none"/>
                <w:lang w:val="en-US" w:eastAsia="zh-CN"/>
              </w:rPr>
              <w:t>YQ05-01-09-01</w:t>
            </w:r>
          </w:p>
        </w:tc>
        <w:tc>
          <w:tcPr>
            <w:tcW w:w="734"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工业用地</w:t>
            </w:r>
          </w:p>
        </w:tc>
        <w:tc>
          <w:tcPr>
            <w:tcW w:w="1216"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2.353556</w:t>
            </w:r>
          </w:p>
        </w:tc>
        <w:tc>
          <w:tcPr>
            <w:tcW w:w="1184"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2.353556</w:t>
            </w:r>
          </w:p>
        </w:tc>
        <w:tc>
          <w:tcPr>
            <w:tcW w:w="900"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≥30%</w:t>
            </w:r>
          </w:p>
        </w:tc>
        <w:tc>
          <w:tcPr>
            <w:tcW w:w="750"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1.6-2.5</w:t>
            </w:r>
          </w:p>
        </w:tc>
        <w:tc>
          <w:tcPr>
            <w:tcW w:w="1250"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37656.90-</w:t>
            </w:r>
          </w:p>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58838.90</w:t>
            </w:r>
          </w:p>
        </w:tc>
        <w:tc>
          <w:tcPr>
            <w:tcW w:w="1000"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15-20</w:t>
            </w:r>
          </w:p>
        </w:tc>
        <w:tc>
          <w:tcPr>
            <w:tcW w:w="733"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w:t>
            </w:r>
          </w:p>
        </w:tc>
        <w:tc>
          <w:tcPr>
            <w:tcW w:w="1750"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仿宋_GB2312" w:hAnsi="宋体" w:eastAsia="仿宋_GB2312" w:cs="仿宋_GB2312"/>
                <w:b w:val="0"/>
                <w:bCs w:val="0"/>
                <w:color w:val="auto"/>
                <w:sz w:val="24"/>
                <w:szCs w:val="24"/>
                <w:highlight w:val="none"/>
                <w:lang w:val="en-US" w:eastAsia="zh-CN"/>
              </w:rPr>
              <w:t>行政办公及生活服务设施每100㎡计容积率建筑面积≥1.0个，厂房每100平方米计容积率建筑面积≥0.3个</w:t>
            </w:r>
          </w:p>
        </w:tc>
        <w:tc>
          <w:tcPr>
            <w:tcW w:w="1950"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lang w:val="en-US" w:eastAsia="zh-CN"/>
              </w:rPr>
            </w:pPr>
            <w:r>
              <w:rPr>
                <w:rFonts w:hint="eastAsia" w:ascii="仿宋_GB2312" w:hAnsi="宋体" w:eastAsia="仿宋_GB2312" w:cs="仿宋_GB2312"/>
                <w:b w:val="0"/>
                <w:bCs w:val="0"/>
                <w:color w:val="auto"/>
                <w:sz w:val="24"/>
                <w:szCs w:val="24"/>
                <w:highlight w:val="none"/>
                <w:lang w:val="en-US" w:eastAsia="zh-CN"/>
              </w:rPr>
              <w:t>行政办公及生活服务设施用地面积不得超过项目用地面积的7％，且建筑面积不得超过项目</w:t>
            </w:r>
            <w:bookmarkStart w:id="0" w:name="_GoBack"/>
            <w:bookmarkEnd w:id="0"/>
            <w:r>
              <w:rPr>
                <w:rFonts w:hint="eastAsia" w:ascii="仿宋_GB2312" w:hAnsi="宋体" w:eastAsia="仿宋_GB2312" w:cs="仿宋_GB2312"/>
                <w:b w:val="0"/>
                <w:bCs w:val="0"/>
                <w:color w:val="auto"/>
                <w:sz w:val="24"/>
                <w:szCs w:val="24"/>
                <w:highlight w:val="none"/>
                <w:lang w:val="en-US" w:eastAsia="zh-CN"/>
              </w:rPr>
              <w:t>总计容建筑面积的20％</w:t>
            </w:r>
          </w:p>
        </w:tc>
        <w:tc>
          <w:tcPr>
            <w:tcW w:w="629"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50</w:t>
            </w:r>
          </w:p>
        </w:tc>
      </w:tr>
    </w:tbl>
    <w:p>
      <w:pPr>
        <w:pStyle w:val="4"/>
        <w:keepNext w:val="0"/>
        <w:keepLines w:val="0"/>
        <w:pageBreakBefore w:val="0"/>
        <w:kinsoku/>
        <w:wordWrap/>
        <w:overflowPunct/>
        <w:topLinePunct w:val="0"/>
        <w:autoSpaceDN/>
        <w:bidi w:val="0"/>
        <w:adjustRightInd/>
        <w:spacing w:line="440" w:lineRule="exact"/>
        <w:ind w:left="0" w:leftChars="0" w:firstLine="0" w:firstLineChars="0"/>
        <w:textAlignment w:val="auto"/>
        <w:rPr>
          <w:rFonts w:hint="eastAsia" w:ascii="仿宋" w:hAnsi="仿宋" w:eastAsia="仿宋" w:cs="仿宋"/>
          <w:b w:val="0"/>
          <w:bCs w:val="0"/>
          <w:color w:val="auto"/>
          <w:sz w:val="32"/>
          <w:szCs w:val="32"/>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BD82C"/>
    <w:multiLevelType w:val="singleLevel"/>
    <w:tmpl w:val="8B5BD82C"/>
    <w:lvl w:ilvl="0" w:tentative="0">
      <w:start w:val="1"/>
      <w:numFmt w:val="chineseCounting"/>
      <w:suff w:val="nothing"/>
      <w:lvlText w:val="（%1）"/>
      <w:lvlJc w:val="left"/>
      <w:pPr>
        <w:ind w:left="-45"/>
      </w:pPr>
      <w:rPr>
        <w:rFonts w:hint="eastAsia"/>
      </w:rPr>
    </w:lvl>
  </w:abstractNum>
  <w:abstractNum w:abstractNumId="1">
    <w:nsid w:val="A6218609"/>
    <w:multiLevelType w:val="singleLevel"/>
    <w:tmpl w:val="A6218609"/>
    <w:lvl w:ilvl="0" w:tentative="0">
      <w:start w:val="1"/>
      <w:numFmt w:val="chineseCounting"/>
      <w:suff w:val="nothing"/>
      <w:lvlText w:val="（%1）"/>
      <w:lvlJc w:val="left"/>
      <w:rPr>
        <w:rFonts w:hint="eastAsia"/>
      </w:rPr>
    </w:lvl>
  </w:abstractNum>
  <w:abstractNum w:abstractNumId="2">
    <w:nsid w:val="0904E1E0"/>
    <w:multiLevelType w:val="singleLevel"/>
    <w:tmpl w:val="0904E1E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N2YwNjRmZTA4YzVlNjIzZGRhMzE0ZjAzYjJiMGMifQ=="/>
  </w:docVars>
  <w:rsids>
    <w:rsidRoot w:val="006F43B4"/>
    <w:rsid w:val="00055381"/>
    <w:rsid w:val="00156890"/>
    <w:rsid w:val="00291F43"/>
    <w:rsid w:val="003846E2"/>
    <w:rsid w:val="003D7B27"/>
    <w:rsid w:val="00502E7E"/>
    <w:rsid w:val="00593588"/>
    <w:rsid w:val="00626965"/>
    <w:rsid w:val="00651A33"/>
    <w:rsid w:val="006F43B4"/>
    <w:rsid w:val="00723053"/>
    <w:rsid w:val="008D4A14"/>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12F32FC"/>
    <w:rsid w:val="01E50B50"/>
    <w:rsid w:val="039F6E44"/>
    <w:rsid w:val="04AA17FE"/>
    <w:rsid w:val="067362EB"/>
    <w:rsid w:val="09402008"/>
    <w:rsid w:val="0AE876EE"/>
    <w:rsid w:val="0DD737A7"/>
    <w:rsid w:val="0E1D2DC4"/>
    <w:rsid w:val="0E2071F3"/>
    <w:rsid w:val="0E2C2AB5"/>
    <w:rsid w:val="101713C8"/>
    <w:rsid w:val="102713DB"/>
    <w:rsid w:val="110903F6"/>
    <w:rsid w:val="11871C18"/>
    <w:rsid w:val="12D666E0"/>
    <w:rsid w:val="13055F11"/>
    <w:rsid w:val="13DC2CB8"/>
    <w:rsid w:val="166F2BF1"/>
    <w:rsid w:val="1794192C"/>
    <w:rsid w:val="17EA1735"/>
    <w:rsid w:val="187E669C"/>
    <w:rsid w:val="188B2794"/>
    <w:rsid w:val="19C257C0"/>
    <w:rsid w:val="1A31098E"/>
    <w:rsid w:val="1B261919"/>
    <w:rsid w:val="1B2A00D1"/>
    <w:rsid w:val="1B3B78EC"/>
    <w:rsid w:val="1BE73F47"/>
    <w:rsid w:val="1C9A1178"/>
    <w:rsid w:val="1D097D20"/>
    <w:rsid w:val="1E904230"/>
    <w:rsid w:val="1FB504FE"/>
    <w:rsid w:val="1FFA383F"/>
    <w:rsid w:val="20515ADA"/>
    <w:rsid w:val="222A162B"/>
    <w:rsid w:val="224E20DB"/>
    <w:rsid w:val="22937891"/>
    <w:rsid w:val="24610AB5"/>
    <w:rsid w:val="250733D2"/>
    <w:rsid w:val="26C167A6"/>
    <w:rsid w:val="27BC0E8D"/>
    <w:rsid w:val="285B64DE"/>
    <w:rsid w:val="29C55868"/>
    <w:rsid w:val="29E1316E"/>
    <w:rsid w:val="29F80FE7"/>
    <w:rsid w:val="29FB0865"/>
    <w:rsid w:val="2A473C52"/>
    <w:rsid w:val="2B773392"/>
    <w:rsid w:val="2CC9567C"/>
    <w:rsid w:val="2CD27F6C"/>
    <w:rsid w:val="2D930E3D"/>
    <w:rsid w:val="2F220213"/>
    <w:rsid w:val="2F442A87"/>
    <w:rsid w:val="2F841177"/>
    <w:rsid w:val="30134210"/>
    <w:rsid w:val="31575D41"/>
    <w:rsid w:val="31D86DCF"/>
    <w:rsid w:val="32FF6567"/>
    <w:rsid w:val="34013B56"/>
    <w:rsid w:val="355D5FD5"/>
    <w:rsid w:val="357D1EB2"/>
    <w:rsid w:val="364058FF"/>
    <w:rsid w:val="36B610CD"/>
    <w:rsid w:val="37723635"/>
    <w:rsid w:val="37CE037F"/>
    <w:rsid w:val="38FE4822"/>
    <w:rsid w:val="3A2953C0"/>
    <w:rsid w:val="3A5C1E5A"/>
    <w:rsid w:val="3B34068A"/>
    <w:rsid w:val="3B5914C3"/>
    <w:rsid w:val="3B694D14"/>
    <w:rsid w:val="3B9610F4"/>
    <w:rsid w:val="3BB71C2D"/>
    <w:rsid w:val="3BD038FF"/>
    <w:rsid w:val="3BD61A36"/>
    <w:rsid w:val="3D152C6B"/>
    <w:rsid w:val="3EA37E97"/>
    <w:rsid w:val="3EB968CD"/>
    <w:rsid w:val="3EC318D5"/>
    <w:rsid w:val="3EC82FB3"/>
    <w:rsid w:val="3F142B57"/>
    <w:rsid w:val="3F1A7FAA"/>
    <w:rsid w:val="3F3E0AB4"/>
    <w:rsid w:val="3F984213"/>
    <w:rsid w:val="3F9F1F66"/>
    <w:rsid w:val="402B776A"/>
    <w:rsid w:val="420A51B3"/>
    <w:rsid w:val="428E2D29"/>
    <w:rsid w:val="43434F84"/>
    <w:rsid w:val="43D3409E"/>
    <w:rsid w:val="44A86E9A"/>
    <w:rsid w:val="45696BDB"/>
    <w:rsid w:val="457C263C"/>
    <w:rsid w:val="465B0945"/>
    <w:rsid w:val="48526CD7"/>
    <w:rsid w:val="486B4F45"/>
    <w:rsid w:val="48AD19E8"/>
    <w:rsid w:val="49956A4F"/>
    <w:rsid w:val="49B303BC"/>
    <w:rsid w:val="4A730934"/>
    <w:rsid w:val="4B8E5FD0"/>
    <w:rsid w:val="4C3E0A00"/>
    <w:rsid w:val="4CA65793"/>
    <w:rsid w:val="4D0F3BE0"/>
    <w:rsid w:val="4D8A139E"/>
    <w:rsid w:val="4F42590E"/>
    <w:rsid w:val="4F7A44ED"/>
    <w:rsid w:val="4F9358A7"/>
    <w:rsid w:val="4FB870F0"/>
    <w:rsid w:val="5004570C"/>
    <w:rsid w:val="508C5CA4"/>
    <w:rsid w:val="50C44115"/>
    <w:rsid w:val="50C65541"/>
    <w:rsid w:val="50C67C69"/>
    <w:rsid w:val="51DA5EFA"/>
    <w:rsid w:val="52146C75"/>
    <w:rsid w:val="523F6E00"/>
    <w:rsid w:val="52EC3EDC"/>
    <w:rsid w:val="5316652D"/>
    <w:rsid w:val="53AC3B6C"/>
    <w:rsid w:val="53BD4A78"/>
    <w:rsid w:val="54A67235"/>
    <w:rsid w:val="55C0458D"/>
    <w:rsid w:val="56242D6E"/>
    <w:rsid w:val="58D008AE"/>
    <w:rsid w:val="59B92E76"/>
    <w:rsid w:val="5B745643"/>
    <w:rsid w:val="5C8578BA"/>
    <w:rsid w:val="5CD9542F"/>
    <w:rsid w:val="5EB43F13"/>
    <w:rsid w:val="5F28567D"/>
    <w:rsid w:val="5F300F59"/>
    <w:rsid w:val="5FCF5D35"/>
    <w:rsid w:val="616B0C9C"/>
    <w:rsid w:val="6197308A"/>
    <w:rsid w:val="62844F25"/>
    <w:rsid w:val="635A435F"/>
    <w:rsid w:val="677060AD"/>
    <w:rsid w:val="6838006B"/>
    <w:rsid w:val="683F3018"/>
    <w:rsid w:val="684568B6"/>
    <w:rsid w:val="68BD0B09"/>
    <w:rsid w:val="68CD7763"/>
    <w:rsid w:val="6A4F4329"/>
    <w:rsid w:val="6AF12B3E"/>
    <w:rsid w:val="6C826573"/>
    <w:rsid w:val="6C8919B8"/>
    <w:rsid w:val="6CE76051"/>
    <w:rsid w:val="6E914841"/>
    <w:rsid w:val="6EB1052D"/>
    <w:rsid w:val="704E7EC8"/>
    <w:rsid w:val="71576811"/>
    <w:rsid w:val="71B67D83"/>
    <w:rsid w:val="71CF0BED"/>
    <w:rsid w:val="71D66846"/>
    <w:rsid w:val="723C3332"/>
    <w:rsid w:val="726873F0"/>
    <w:rsid w:val="729D59B3"/>
    <w:rsid w:val="72BE08F6"/>
    <w:rsid w:val="731759FD"/>
    <w:rsid w:val="734164C7"/>
    <w:rsid w:val="746E7275"/>
    <w:rsid w:val="751A7E63"/>
    <w:rsid w:val="76A333E3"/>
    <w:rsid w:val="76AC6A44"/>
    <w:rsid w:val="77852CA3"/>
    <w:rsid w:val="778B6418"/>
    <w:rsid w:val="779A0D22"/>
    <w:rsid w:val="79D044EF"/>
    <w:rsid w:val="7A436452"/>
    <w:rsid w:val="7A6A3136"/>
    <w:rsid w:val="7AFD1570"/>
    <w:rsid w:val="7B250D17"/>
    <w:rsid w:val="7B6E62FB"/>
    <w:rsid w:val="7BB44569"/>
    <w:rsid w:val="7CFD5584"/>
    <w:rsid w:val="7D810E5F"/>
    <w:rsid w:val="7D84768B"/>
    <w:rsid w:val="7DA912DF"/>
    <w:rsid w:val="7E2D0B3F"/>
    <w:rsid w:val="7E34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1"/>
    <w:basedOn w:val="1"/>
    <w:next w:val="3"/>
    <w:qFormat/>
    <w:uiPriority w:val="0"/>
    <w:pPr>
      <w:widowControl/>
      <w:spacing w:line="360" w:lineRule="auto"/>
      <w:ind w:firstLine="600"/>
      <w:jc w:val="left"/>
    </w:pPr>
    <w:rPr>
      <w:rFonts w:ascii="宋体" w:hAnsi="宋体" w:eastAsia="仿宋_GB2312"/>
      <w:kern w:val="0"/>
      <w:sz w:val="30"/>
    </w:rPr>
  </w:style>
  <w:style w:type="paragraph" w:styleId="3">
    <w:name w:val="Body Text Indent 2"/>
    <w:basedOn w:val="1"/>
    <w:qFormat/>
    <w:uiPriority w:val="0"/>
    <w:pPr>
      <w:spacing w:after="120" w:line="480" w:lineRule="auto"/>
      <w:ind w:left="420" w:leftChars="200"/>
    </w:pPr>
  </w:style>
  <w:style w:type="paragraph" w:styleId="4">
    <w:name w:val="Normal Indent"/>
    <w:basedOn w:val="1"/>
    <w:unhideWhenUsed/>
    <w:qFormat/>
    <w:uiPriority w:val="0"/>
    <w:pPr>
      <w:ind w:firstLine="420" w:firstLineChars="200"/>
    </w:pPr>
  </w:style>
  <w:style w:type="paragraph" w:styleId="5">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character" w:styleId="11">
    <w:name w:val="page number"/>
    <w:basedOn w:val="10"/>
    <w:qFormat/>
    <w:uiPriority w:val="0"/>
  </w:style>
  <w:style w:type="paragraph" w:customStyle="1" w:styleId="12">
    <w:name w:val="批注文字 New New"/>
    <w:basedOn w:val="1"/>
    <w:qFormat/>
    <w:uiPriority w:val="0"/>
    <w:pPr>
      <w:jc w:val="left"/>
    </w:pPr>
    <w:rPr>
      <w:szCs w:val="20"/>
    </w:rPr>
  </w:style>
  <w:style w:type="character" w:customStyle="1" w:styleId="13">
    <w:name w:val="页眉 Char"/>
    <w:basedOn w:val="10"/>
    <w:link w:val="7"/>
    <w:semiHidden/>
    <w:qFormat/>
    <w:uiPriority w:val="99"/>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3773</Words>
  <Characters>4112</Characters>
  <Lines>27</Lines>
  <Paragraphs>7</Paragraphs>
  <TotalTime>10</TotalTime>
  <ScaleCrop>false</ScaleCrop>
  <LinksUpToDate>false</LinksUpToDate>
  <CharactersWithSpaces>4169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佐宇</cp:lastModifiedBy>
  <cp:lastPrinted>2022-10-26T08:37:00Z</cp:lastPrinted>
  <dcterms:modified xsi:type="dcterms:W3CDTF">2022-10-27T01:58:37Z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6A04F514BDA047D18C36E348780576E0</vt:lpwstr>
  </property>
</Properties>
</file>