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2024</w:t>
      </w:r>
      <w:r>
        <w:rPr>
          <w:rFonts w:hint="eastAsia" w:ascii="宋体" w:hAnsi="宋体" w:cs="宋体"/>
          <w:b/>
          <w:bCs/>
          <w:sz w:val="32"/>
          <w:szCs w:val="32"/>
        </w:rPr>
        <w:t>〕</w:t>
      </w:r>
      <w:r>
        <w:rPr>
          <w:rFonts w:hint="eastAsia" w:ascii="仿宋" w:hAnsi="仿宋" w:eastAsia="仿宋" w:cs="仿宋_GB2312"/>
          <w:b/>
          <w:bCs/>
          <w:sz w:val="32"/>
          <w:szCs w:val="32"/>
          <w:lang w:val="en-US" w:eastAsia="zh-CN"/>
        </w:rPr>
        <w:t>018</w:t>
      </w:r>
      <w:r>
        <w:rPr>
          <w:rFonts w:hint="eastAsia" w:ascii="仿宋" w:hAnsi="仿宋" w:eastAsia="仿宋" w:cs="仿宋_GB2312"/>
          <w:b/>
          <w:bCs/>
          <w:sz w:val="32"/>
          <w:szCs w:val="32"/>
        </w:rPr>
        <w:t>号</w:t>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有关宗地的电子挂牌交易公告等相关信息通过惠州市公共资源交易中心门户网站、交易大厅的电子显示屏、中国土地市场网和网上挂牌交易系统等媒介同步发布。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有意竞买者可登录网上挂牌交易系统网站(https://www.hzgtjy.com/)查询。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申请人可在网上挂牌交易系统浏览和下载本宗地网上挂牌出让文件，具体包括：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val="en-US" w:eastAsia="zh-CN"/>
        </w:rPr>
        <w:t>规划条件告知书</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惠东自资规条字BH[2024]8</w:t>
      </w:r>
      <w:r>
        <w:rPr>
          <w:rFonts w:hint="eastAsia" w:ascii="仿宋" w:hAnsi="仿宋" w:eastAsia="仿宋" w:cs="仿宋"/>
          <w:b w:val="0"/>
          <w:bCs w:val="0"/>
          <w:color w:val="auto"/>
          <w:sz w:val="32"/>
          <w:szCs w:val="32"/>
          <w:lang w:eastAsia="zh-CN"/>
        </w:rPr>
        <w:t>）</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6、《国有建设用地使用权出让合同》（以下简称“出让合同”）（样本）；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rPr>
        <w:t>7、其他相关文件。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1、本宗国有建设用地使用权网上挂牌出让只能在互联网上，通过网上挂牌交易系统（https://www.hzgtjy.com/）进行。只有</w:t>
      </w:r>
      <w:bookmarkStart w:id="0" w:name="_GoBack"/>
      <w:bookmarkEnd w:id="0"/>
      <w:r>
        <w:rPr>
          <w:rFonts w:hint="eastAsia" w:ascii="仿宋" w:hAnsi="仿宋" w:eastAsia="仿宋" w:cs="仿宋"/>
          <w:sz w:val="32"/>
          <w:szCs w:val="32"/>
        </w:rPr>
        <w:t xml:space="preserve">通过网上注册、办理数字证书、按要求足额交付竞买保证金的申请人，才能参加网上挂牌交易活动。 </w:t>
      </w:r>
    </w:p>
    <w:p>
      <w:pPr>
        <w:pStyle w:val="3"/>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）申请办理。数字证书的办理流程详见网上挂牌交易系统上的《数字证书办理指南》。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1、竞买保证金是申请人参加网上挂牌交易活动的资格条件。按规定将竞买保证金汇入指定账户，是参加网上挂牌交易活动的必经程序。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4、竞买保证金到账时间以网上挂牌交易系统确认并发出《保证金到账通知书》为准。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5、竞买保证金开户单位：惠州市公共资源交易中心惠东分中心，竞买保证金账号：网上挂牌交易系统随机产生竞买保证金支付账号。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（2）广发银行惠东银基支行；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6、申请人应根据网上挂牌交易系统生成的随机保证金账号按时足额交纳竞买保证金，并在网上挂牌交易系统确认竞买保证金到账之后，赋予竞买人对应宗地的竞买报价权限。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1、竞买人通过网上挂牌交易系统进行报价。电子报价和电子限时竞价按以下规则进行：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2、竞买人应当谨慎报价，报价一经提交并经网上挂牌交易系统确认为有效报价，不可撤回。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3、电子挂牌交易宗地设有底价的，电子挂牌交易期限截止前半小时，在属地纪委监委和委托人的监督下，由交易中心在网上挂牌交易系统输入交易宗地底价。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4、进入电子限时竞价，电子限时竞价中报价最高且报价不低于底价者为成交候选人；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5、电子限时竞价中无竞买人报价的，以电子挂牌交易截止时报价最高且报价不低于底价者为成交候选人。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5"/>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成交候选人应在网上挂牌交易系统确定成交候选人之</w:t>
      </w:r>
    </w:p>
    <w:p>
      <w:pPr>
        <w:pStyle w:val="5"/>
        <w:widowControl/>
        <w:spacing w:line="540" w:lineRule="exact"/>
        <w:rPr>
          <w:rFonts w:ascii="仿宋" w:hAnsi="仿宋" w:eastAsia="仿宋" w:cs="华文仿宋"/>
          <w:sz w:val="32"/>
          <w:szCs w:val="32"/>
        </w:rPr>
      </w:pPr>
      <w:r>
        <w:rPr>
          <w:rFonts w:hint="eastAsia" w:ascii="仿宋" w:hAnsi="仿宋" w:eastAsia="仿宋" w:cs="华文仿宋"/>
          <w:sz w:val="32"/>
          <w:szCs w:val="32"/>
        </w:rPr>
        <w:t>日起5个工作日内将竞买申请书等材料上传至土地与矿业网上挂牌交易系统，由惠东县自然资源局在线上进行竞买资格审查。惠东县自然资源局将于2个工作日内确定符合竞买资格的成交候选人为竞得人（成交候选人上传材料的具体操作详见网上挂牌交易系统资料下载栏目中的《惠州市公共资源交易中心土地与矿业交易系统新增建设功能操作指南》）。</w:t>
      </w:r>
    </w:p>
    <w:p>
      <w:pPr>
        <w:pStyle w:val="5"/>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1</w:t>
      </w:r>
      <w:r>
        <w:rPr>
          <w:rFonts w:hint="eastAsia" w:ascii="仿宋" w:hAnsi="仿宋" w:eastAsia="仿宋" w:cs="仿宋"/>
          <w:b w:val="0"/>
          <w:bCs w:val="0"/>
          <w:color w:val="000000"/>
          <w:kern w:val="2"/>
          <w:sz w:val="32"/>
          <w:szCs w:val="32"/>
        </w:rPr>
        <w:t>）《竞买申请书》（交易网站下载）；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2</w:t>
      </w:r>
      <w:r>
        <w:rPr>
          <w:rFonts w:hint="eastAsia" w:ascii="仿宋" w:hAnsi="仿宋" w:eastAsia="仿宋" w:cs="仿宋"/>
          <w:b w:val="0"/>
          <w:bCs w:val="0"/>
          <w:color w:val="000000"/>
          <w:kern w:val="2"/>
          <w:sz w:val="32"/>
          <w:szCs w:val="32"/>
        </w:rPr>
        <w:t>）《竞价结果通知书》（交易网站下载）；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3</w:t>
      </w:r>
      <w:r>
        <w:rPr>
          <w:rFonts w:hint="eastAsia" w:ascii="仿宋" w:hAnsi="仿宋" w:eastAsia="仿宋" w:cs="仿宋"/>
          <w:b w:val="0"/>
          <w:bCs w:val="0"/>
          <w:color w:val="000000"/>
          <w:kern w:val="2"/>
          <w:sz w:val="32"/>
          <w:szCs w:val="32"/>
        </w:rPr>
        <w:t>）《竞买保证金到账通知书》（交易网站下载）；</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4</w:t>
      </w:r>
      <w:r>
        <w:rPr>
          <w:rFonts w:hint="eastAsia" w:ascii="仿宋" w:hAnsi="仿宋" w:eastAsia="仿宋" w:cs="仿宋"/>
          <w:b w:val="0"/>
          <w:bCs w:val="0"/>
          <w:color w:val="000000"/>
          <w:kern w:val="2"/>
          <w:sz w:val="32"/>
          <w:szCs w:val="32"/>
        </w:rPr>
        <w:t>）竞买保证金转账凭证复印件（加盖公章）；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5</w:t>
      </w:r>
      <w:r>
        <w:rPr>
          <w:rFonts w:hint="eastAsia" w:ascii="仿宋" w:hAnsi="仿宋" w:eastAsia="仿宋" w:cs="仿宋"/>
          <w:b w:val="0"/>
          <w:bCs w:val="0"/>
          <w:color w:val="000000"/>
          <w:kern w:val="2"/>
          <w:sz w:val="32"/>
          <w:szCs w:val="32"/>
        </w:rPr>
        <w:t>）申请竞买人有效的《营业执照》复印件（加盖公章）；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6</w:t>
      </w:r>
      <w:r>
        <w:rPr>
          <w:rFonts w:hint="eastAsia" w:ascii="仿宋" w:hAnsi="仿宋" w:eastAsia="仿宋" w:cs="仿宋"/>
          <w:b w:val="0"/>
          <w:bCs w:val="0"/>
          <w:color w:val="000000"/>
          <w:kern w:val="2"/>
          <w:sz w:val="32"/>
          <w:szCs w:val="32"/>
        </w:rPr>
        <w:t>）法定代表人身份证复印件（加盖公章）；</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7</w:t>
      </w:r>
      <w:r>
        <w:rPr>
          <w:rFonts w:hint="eastAsia" w:ascii="仿宋" w:hAnsi="仿宋" w:eastAsia="仿宋" w:cs="仿宋"/>
          <w:b w:val="0"/>
          <w:bCs w:val="0"/>
          <w:color w:val="000000"/>
          <w:kern w:val="2"/>
          <w:sz w:val="32"/>
          <w:szCs w:val="32"/>
        </w:rPr>
        <w:t>）授权他人代理的授权委托书及代理人身份证复印件（按模板填写）；</w:t>
      </w:r>
    </w:p>
    <w:p>
      <w:pPr>
        <w:keepNext w:val="0"/>
        <w:keepLines w:val="0"/>
        <w:pageBreakBefore w:val="0"/>
        <w:kinsoku/>
        <w:overflowPunct/>
        <w:topLinePunct w:val="0"/>
        <w:autoSpaceDE/>
        <w:bidi w:val="0"/>
        <w:spacing w:line="540" w:lineRule="exact"/>
        <w:ind w:firstLine="640" w:firstLineChars="200"/>
        <w:textAlignment w:val="auto"/>
        <w:rPr>
          <w:rFonts w:hint="eastAsia" w:ascii="仿宋" w:hAnsi="仿宋" w:eastAsia="仿宋" w:cs="仿宋"/>
          <w:b w:val="0"/>
          <w:bCs w:val="0"/>
          <w:color w:val="000000"/>
          <w:kern w:val="2"/>
          <w:sz w:val="32"/>
          <w:szCs w:val="32"/>
          <w:lang w:eastAsia="zh-CN"/>
        </w:rPr>
      </w:pPr>
      <w:r>
        <w:rPr>
          <w:rFonts w:hint="eastAsia" w:ascii="仿宋" w:hAnsi="仿宋" w:eastAsia="仿宋" w:cs="仿宋"/>
          <w:b w:val="0"/>
          <w:bCs w:val="0"/>
          <w:color w:val="000000"/>
          <w:kern w:val="2"/>
          <w:sz w:val="32"/>
          <w:szCs w:val="32"/>
        </w:rPr>
        <w:t>（</w:t>
      </w:r>
      <w:r>
        <w:rPr>
          <w:rFonts w:hint="eastAsia" w:ascii="仿宋" w:hAnsi="仿宋" w:eastAsia="仿宋" w:cs="仿宋"/>
          <w:b w:val="0"/>
          <w:bCs w:val="0"/>
          <w:color w:val="000000"/>
          <w:kern w:val="2"/>
          <w:sz w:val="32"/>
          <w:szCs w:val="32"/>
          <w:lang w:val="en-US" w:eastAsia="zh-CN"/>
        </w:rPr>
        <w:t>8</w:t>
      </w:r>
      <w:r>
        <w:rPr>
          <w:rFonts w:hint="eastAsia" w:ascii="仿宋" w:hAnsi="仿宋" w:eastAsia="仿宋" w:cs="仿宋"/>
          <w:b w:val="0"/>
          <w:bCs w:val="0"/>
          <w:color w:val="000000"/>
          <w:kern w:val="2"/>
          <w:sz w:val="32"/>
          <w:szCs w:val="32"/>
        </w:rPr>
        <w:t>）联合竞买协议（联合竞买情形的提供，加盖公章）</w:t>
      </w:r>
      <w:r>
        <w:rPr>
          <w:rFonts w:hint="eastAsia" w:ascii="仿宋" w:hAnsi="仿宋" w:eastAsia="仿宋" w:cs="仿宋"/>
          <w:b w:val="0"/>
          <w:bCs w:val="0"/>
          <w:color w:val="000000"/>
          <w:kern w:val="2"/>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不符合竞买资格的，取消成交候选人资格，竞价结果无效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竞买资格前置审查的，交易系统自动公布交易结果；竞买资格后置审查的，委托人确定竞得人后，由交易中心通过网上挂牌交易系统发布交易结果。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网上挂牌交易系统竞买人操作视频可登录（https://www.hzgtjy.com/）下载。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本县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本县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3"/>
        <w:ind w:firstLine="640"/>
      </w:pPr>
      <w:r>
        <w:rPr>
          <w:rFonts w:hint="eastAsia" w:ascii="仿宋" w:hAnsi="仿宋" w:eastAsia="仿宋" w:cs="仿宋"/>
          <w:sz w:val="32"/>
          <w:szCs w:val="32"/>
        </w:rPr>
        <w:t>未竞得人退竞买保证金材料清单：1.竞买保证金退款申请书；2.保证金转账凭证复印件；3.《竞买保证金到账通知书》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；4.营业执照副本复印件；5.法定代表人身份证复印件；6.如授权他人代理的则需授权委托书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接到县自然资源局《</w:t>
      </w:r>
      <w:r>
        <w:rPr>
          <w:rFonts w:hint="eastAsia" w:ascii="仿宋" w:hAnsi="仿宋" w:eastAsia="仿宋" w:cs="华文仿宋"/>
          <w:b w:val="0"/>
          <w:bCs w:val="0"/>
          <w:color w:val="auto"/>
          <w:sz w:val="32"/>
          <w:szCs w:val="32"/>
        </w:rPr>
        <w:t>银行端查询缴税凭证</w:t>
      </w:r>
      <w:r>
        <w:rPr>
          <w:rFonts w:hint="eastAsia" w:ascii="仿宋" w:hAnsi="仿宋" w:eastAsia="仿宋" w:cs="华文仿宋"/>
          <w:b w:val="0"/>
          <w:bCs w:val="0"/>
          <w:color w:val="auto"/>
          <w:sz w:val="32"/>
          <w:szCs w:val="32"/>
          <w:lang w:eastAsia="zh-CN"/>
        </w:rPr>
        <w:t>》后，将竞买保证金转到指定账户。</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（十二）本竞买须知及出让公告涉及的时间期限，以网上挂牌交易系统服务器的时间为准。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（十三）交易中心对本《须知》有解释权。未尽事宜依照《招标拍卖挂牌出让国有土地使用权规范》办理。</w:t>
      </w:r>
    </w:p>
    <w:p>
      <w:pPr>
        <w:rPr>
          <w:rFonts w:ascii="仿宋" w:hAnsi="仿宋" w:eastAsia="仿宋" w:cs="仿宋"/>
          <w:sz w:val="32"/>
          <w:szCs w:val="32"/>
        </w:rPr>
      </w:pPr>
    </w:p>
    <w:p>
      <w:pPr>
        <w:pStyle w:val="3"/>
        <w:ind w:firstLine="0" w:firstLineChars="0"/>
        <w:rPr>
          <w:rFonts w:ascii="仿宋" w:hAnsi="仿宋" w:eastAsia="仿宋" w:cs="仿宋"/>
          <w:sz w:val="32"/>
          <w:szCs w:val="32"/>
        </w:rPr>
      </w:pPr>
    </w:p>
    <w:p>
      <w:pPr>
        <w:pStyle w:val="3"/>
        <w:ind w:firstLine="640"/>
        <w:rPr>
          <w:rFonts w:ascii="仿宋" w:hAnsi="仿宋" w:eastAsia="仿宋" w:cs="仿宋"/>
          <w:sz w:val="32"/>
          <w:szCs w:val="32"/>
        </w:rPr>
      </w:pPr>
    </w:p>
    <w:p>
      <w:pPr>
        <w:jc w:val="center"/>
        <w:rPr>
          <w:rFonts w:ascii="仿宋" w:hAnsi="仿宋" w:eastAsia="仿宋" w:cs="仿宋"/>
          <w:sz w:val="32"/>
          <w:szCs w:val="32"/>
        </w:rPr>
      </w:pPr>
      <w:r>
        <w:rPr>
          <w:rFonts w:hint="eastAsia" w:ascii="仿宋" w:hAnsi="仿宋" w:eastAsia="仿宋" w:cs="仿宋"/>
          <w:sz w:val="32"/>
          <w:szCs w:val="32"/>
        </w:rPr>
        <w:t xml:space="preserve">                   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2024年</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24</w:t>
      </w:r>
      <w:r>
        <w:rPr>
          <w:rFonts w:hint="eastAsia" w:ascii="仿宋" w:hAnsi="仿宋" w:eastAsia="仿宋" w:cs="仿宋"/>
          <w:color w:val="000000" w:themeColor="text1"/>
          <w:sz w:val="32"/>
          <w:szCs w:val="32"/>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36417AB"/>
    <w:rsid w:val="057C2813"/>
    <w:rsid w:val="06587A83"/>
    <w:rsid w:val="0D96631E"/>
    <w:rsid w:val="0F586A0D"/>
    <w:rsid w:val="0F8728CB"/>
    <w:rsid w:val="1138689E"/>
    <w:rsid w:val="12413F80"/>
    <w:rsid w:val="13420C57"/>
    <w:rsid w:val="1BA5634F"/>
    <w:rsid w:val="1DAD3E49"/>
    <w:rsid w:val="224C5F2F"/>
    <w:rsid w:val="24134E9E"/>
    <w:rsid w:val="24EC4FEB"/>
    <w:rsid w:val="28890BEC"/>
    <w:rsid w:val="28F50888"/>
    <w:rsid w:val="2A4E247F"/>
    <w:rsid w:val="2FCC3A6A"/>
    <w:rsid w:val="31CB2AFD"/>
    <w:rsid w:val="33884F53"/>
    <w:rsid w:val="35E1664C"/>
    <w:rsid w:val="37016E59"/>
    <w:rsid w:val="37251A19"/>
    <w:rsid w:val="39192335"/>
    <w:rsid w:val="39B55791"/>
    <w:rsid w:val="3F4C2CB2"/>
    <w:rsid w:val="43E12AFB"/>
    <w:rsid w:val="44121DFD"/>
    <w:rsid w:val="474A1870"/>
    <w:rsid w:val="4A497E70"/>
    <w:rsid w:val="4B7E3F80"/>
    <w:rsid w:val="4BB137D9"/>
    <w:rsid w:val="4F624AF9"/>
    <w:rsid w:val="513A5026"/>
    <w:rsid w:val="55556D09"/>
    <w:rsid w:val="560B6EB6"/>
    <w:rsid w:val="5842790F"/>
    <w:rsid w:val="5B5C174E"/>
    <w:rsid w:val="5D497381"/>
    <w:rsid w:val="5E373C13"/>
    <w:rsid w:val="636D04A3"/>
    <w:rsid w:val="65733ED9"/>
    <w:rsid w:val="66DD6825"/>
    <w:rsid w:val="68DE0E9E"/>
    <w:rsid w:val="691B3097"/>
    <w:rsid w:val="69D43981"/>
    <w:rsid w:val="6AC34BC3"/>
    <w:rsid w:val="6C026FB6"/>
    <w:rsid w:val="6CA57501"/>
    <w:rsid w:val="6DE00A2C"/>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24"/>
    </w:rPr>
  </w:style>
  <w:style w:type="paragraph" w:styleId="3">
    <w:name w:val="Normal Indent"/>
    <w:basedOn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10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2024-04-23T03:23:40Z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A35264C6C4B543129283D27DBDF5FC6E</vt:lpwstr>
  </property>
</Properties>
</file>