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autoSpaceDE/>
        <w:autoSpaceDN/>
        <w:bidi w:val="0"/>
        <w:spacing w:line="480" w:lineRule="exact"/>
        <w:jc w:val="center"/>
        <w:textAlignment w:val="auto"/>
        <w:rPr>
          <w:rFonts w:hint="eastAsia" w:ascii="Times New Roman" w:hAnsi="Times New Roman" w:eastAsia="仿宋_GB2312" w:cs="方正小标宋简体"/>
          <w:b w:val="0"/>
          <w:bCs w:val="0"/>
          <w:color w:val="auto"/>
          <w:spacing w:val="3"/>
          <w:sz w:val="44"/>
          <w:szCs w:val="44"/>
          <w:highlight w:val="none"/>
        </w:rPr>
      </w:pPr>
      <w:bookmarkStart w:id="0" w:name="_GoBack"/>
      <w:bookmarkEnd w:id="0"/>
      <w:r>
        <w:rPr>
          <w:rFonts w:hint="eastAsia" w:ascii="Times New Roman" w:hAnsi="Times New Roman" w:eastAsia="仿宋_GB2312" w:cs="方正小标宋简体"/>
          <w:b w:val="0"/>
          <w:bCs w:val="0"/>
          <w:color w:val="auto"/>
          <w:spacing w:val="3"/>
          <w:sz w:val="44"/>
          <w:szCs w:val="44"/>
          <w:highlight w:val="none"/>
        </w:rPr>
        <w:t>惠州市</w:t>
      </w:r>
      <w:r>
        <w:rPr>
          <w:rFonts w:hint="eastAsia" w:ascii="Times New Roman" w:hAnsi="Times New Roman" w:eastAsia="仿宋_GB2312" w:cs="方正小标宋简体"/>
          <w:b w:val="0"/>
          <w:bCs w:val="0"/>
          <w:color w:val="auto"/>
          <w:spacing w:val="3"/>
          <w:sz w:val="44"/>
          <w:szCs w:val="44"/>
          <w:highlight w:val="none"/>
          <w:lang w:eastAsia="zh-CN"/>
        </w:rPr>
        <w:t>龙门县</w:t>
      </w:r>
      <w:r>
        <w:rPr>
          <w:rFonts w:hint="eastAsia" w:ascii="Times New Roman" w:hAnsi="Times New Roman" w:eastAsia="仿宋_GB2312"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autoSpaceDE/>
        <w:autoSpaceDN/>
        <w:bidi w:val="0"/>
        <w:spacing w:line="480" w:lineRule="exact"/>
        <w:ind w:left="4018" w:hanging="4014" w:hangingChars="900"/>
        <w:jc w:val="center"/>
        <w:textAlignment w:val="auto"/>
        <w:rPr>
          <w:rFonts w:hint="eastAsia" w:ascii="Times New Roman" w:hAnsi="Times New Roman" w:eastAsia="仿宋_GB2312" w:cs="方正小标宋简体"/>
          <w:b w:val="0"/>
          <w:bCs w:val="0"/>
          <w:color w:val="auto"/>
          <w:sz w:val="44"/>
          <w:szCs w:val="44"/>
          <w:highlight w:val="none"/>
        </w:rPr>
      </w:pPr>
      <w:r>
        <w:rPr>
          <w:rFonts w:hint="eastAsia" w:ascii="Times New Roman" w:hAnsi="Times New Roman" w:eastAsia="仿宋_GB2312" w:cs="方正小标宋简体"/>
          <w:b w:val="0"/>
          <w:bCs w:val="0"/>
          <w:color w:val="auto"/>
          <w:spacing w:val="3"/>
          <w:sz w:val="44"/>
          <w:szCs w:val="44"/>
          <w:highlight w:val="none"/>
        </w:rPr>
        <w:t>网上挂牌</w:t>
      </w:r>
      <w:r>
        <w:rPr>
          <w:rFonts w:hint="eastAsia" w:ascii="Times New Roman" w:hAnsi="Times New Roman" w:eastAsia="仿宋_GB2312"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龙自然资挂</w:t>
      </w:r>
      <w:r>
        <w:rPr>
          <w:rFonts w:hint="eastAsia" w:ascii="Times New Roman" w:hAnsi="Times New Roman" w:eastAsia="仿宋_GB2312" w:cs="仿宋_GB2312"/>
          <w:b w:val="0"/>
          <w:bCs w:val="0"/>
          <w:color w:val="auto"/>
          <w:sz w:val="32"/>
          <w:szCs w:val="32"/>
          <w:highlight w:val="none"/>
          <w:lang w:eastAsia="zh-CN"/>
        </w:rPr>
        <w:t>﹝202</w:t>
      </w: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eastAsia="zh-CN"/>
        </w:rPr>
        <w:t>﹞</w:t>
      </w:r>
      <w:r>
        <w:rPr>
          <w:rFonts w:hint="eastAsia" w:eastAsia="仿宋_GB2312" w:cs="仿宋_GB2312"/>
          <w:b w:val="0"/>
          <w:bCs w:val="0"/>
          <w:color w:val="auto"/>
          <w:sz w:val="32"/>
          <w:szCs w:val="32"/>
          <w:highlight w:val="none"/>
          <w:lang w:val="en-US" w:eastAsia="zh-CN"/>
        </w:rPr>
        <w:t>004</w:t>
      </w:r>
      <w:r>
        <w:rPr>
          <w:rFonts w:hint="eastAsia" w:ascii="Times New Roman" w:hAnsi="Times New Roman"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根据《招标拍卖挂牌出让国有建设用地使用权规定》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国土资源部令第39号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和《广东省土地使用权交易市场管理规定》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广东省人民政府令第</w:t>
      </w:r>
      <w:r>
        <w:rPr>
          <w:rFonts w:hint="eastAsia" w:eastAsia="仿宋_GB2312" w:cs="仿宋_GB2312"/>
          <w:b w:val="0"/>
          <w:bCs w:val="0"/>
          <w:color w:val="auto"/>
          <w:sz w:val="32"/>
          <w:szCs w:val="32"/>
          <w:highlight w:val="none"/>
          <w:lang w:val="en-US" w:eastAsia="zh-CN"/>
        </w:rPr>
        <w:t>304</w:t>
      </w:r>
      <w:r>
        <w:rPr>
          <w:rFonts w:hint="eastAsia" w:ascii="Times New Roman" w:hAnsi="Times New Roman" w:eastAsia="仿宋_GB2312" w:cs="仿宋_GB2312"/>
          <w:b w:val="0"/>
          <w:bCs w:val="0"/>
          <w:color w:val="auto"/>
          <w:sz w:val="32"/>
          <w:szCs w:val="32"/>
          <w:highlight w:val="none"/>
        </w:rPr>
        <w:t>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的规定，经批准，</w:t>
      </w:r>
      <w:r>
        <w:rPr>
          <w:rFonts w:hint="eastAsia" w:ascii="Times New Roman" w:hAnsi="Times New Roman" w:eastAsia="仿宋_GB2312" w:cs="仿宋_GB2312"/>
          <w:b w:val="0"/>
          <w:bCs w:val="0"/>
          <w:color w:val="auto"/>
          <w:sz w:val="32"/>
          <w:szCs w:val="32"/>
          <w:highlight w:val="none"/>
          <w:lang w:eastAsia="zh-CN"/>
        </w:rPr>
        <w:t>我</w:t>
      </w:r>
      <w:r>
        <w:rPr>
          <w:rFonts w:hint="eastAsia" w:ascii="Times New Roman" w:hAnsi="Times New Roman" w:eastAsia="仿宋_GB2312" w:cs="仿宋_GB2312"/>
          <w:b w:val="0"/>
          <w:bCs w:val="0"/>
          <w:color w:val="auto"/>
          <w:sz w:val="32"/>
          <w:szCs w:val="32"/>
          <w:highlight w:val="none"/>
        </w:rPr>
        <w:t>局决定以网上挂牌方式公开出让</w:t>
      </w:r>
      <w:r>
        <w:rPr>
          <w:rFonts w:hint="eastAsia" w:eastAsia="仿宋_GB2312" w:cs="仿宋_GB2312"/>
          <w:b w:val="0"/>
          <w:bCs w:val="0"/>
          <w:color w:val="auto"/>
          <w:sz w:val="32"/>
          <w:szCs w:val="32"/>
          <w:highlight w:val="none"/>
          <w:lang w:val="en-US" w:eastAsia="zh-CN"/>
        </w:rPr>
        <w:t>5</w:t>
      </w:r>
      <w:r>
        <w:rPr>
          <w:rFonts w:hint="eastAsia" w:ascii="Times New Roman" w:hAnsi="Times New Roman" w:eastAsia="仿宋_GB2312" w:cs="仿宋_GB2312"/>
          <w:b w:val="0"/>
          <w:bCs w:val="0"/>
          <w:color w:val="auto"/>
          <w:sz w:val="32"/>
          <w:szCs w:val="32"/>
          <w:highlight w:val="none"/>
          <w:lang w:eastAsia="zh-CN"/>
        </w:rPr>
        <w:t>宗</w:t>
      </w:r>
      <w:r>
        <w:rPr>
          <w:rFonts w:hint="eastAsia" w:ascii="Times New Roman" w:hAnsi="Times New Roman"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挂牌起始价及加价幅度（见附表）</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80" w:lineRule="exact"/>
        <w:ind w:left="958" w:leftChars="304" w:hanging="320" w:hangingChars="100"/>
        <w:jc w:val="both"/>
        <w:textAlignment w:val="auto"/>
        <w:rPr>
          <w:rFonts w:hint="default"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rPr>
        <w:t>（一）公告时间：</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7</w:t>
      </w:r>
      <w:r>
        <w:rPr>
          <w:rFonts w:hint="eastAsia" w:ascii="Times New Roman" w:hAnsi="Times New Roman" w:eastAsia="仿宋_GB2312" w:cs="仿宋_GB2312"/>
          <w:b w:val="0"/>
          <w:bCs w:val="0"/>
          <w:color w:val="auto"/>
          <w:sz w:val="32"/>
          <w:szCs w:val="32"/>
          <w:highlight w:val="none"/>
        </w:rPr>
        <w:t>日至</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27</w:t>
      </w:r>
    </w:p>
    <w:p>
      <w:pPr>
        <w:pStyle w:val="4"/>
        <w:keepNext w:val="0"/>
        <w:keepLines w:val="0"/>
        <w:pageBreakBefore w:val="0"/>
        <w:kinsoku/>
        <w:wordWrap/>
        <w:overflowPunct/>
        <w:topLinePunct w:val="0"/>
        <w:autoSpaceDE/>
        <w:autoSpaceDN/>
        <w:bidi w:val="0"/>
        <w:spacing w:line="480" w:lineRule="exact"/>
        <w:ind w:left="0" w:leftChars="0" w:firstLine="0" w:firstLineChars="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（二）网上挂牌竞买时间：</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28</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时至</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13</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竞买保证金到账截止时间为：</w:t>
      </w:r>
      <w:r>
        <w:rPr>
          <w:rFonts w:hint="eastAsia" w:ascii="Times New Roman" w:hAnsi="Times New Roman" w:eastAsia="仿宋_GB2312" w:cs="仿宋_GB2312"/>
          <w:b w:val="0"/>
          <w:bCs w:val="0"/>
          <w:color w:val="auto"/>
          <w:sz w:val="32"/>
          <w:szCs w:val="32"/>
          <w:highlight w:val="none"/>
          <w:u w:val="single"/>
          <w:lang w:val="en-US" w:eastAsia="zh-CN"/>
        </w:rPr>
        <w:t>202</w:t>
      </w:r>
      <w:r>
        <w:rPr>
          <w:rFonts w:hint="eastAsia" w:eastAsia="仿宋_GB2312" w:cs="仿宋_GB2312"/>
          <w:b w:val="0"/>
          <w:bCs w:val="0"/>
          <w:color w:val="auto"/>
          <w:sz w:val="32"/>
          <w:szCs w:val="32"/>
          <w:highlight w:val="none"/>
          <w:u w:val="single"/>
          <w:lang w:val="en-US" w:eastAsia="zh-CN"/>
        </w:rPr>
        <w:t>4</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13</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中华人民共和国境内外的法人、自然人和其他组织（除法律法规另有规定外）可申请参加竞买。可以独立竞买，也可以联合竞买</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8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（一）交纳足额竞买保证金；</w:t>
      </w:r>
    </w:p>
    <w:p>
      <w:pPr>
        <w:pStyle w:val="8"/>
        <w:keepNext w:val="0"/>
        <w:keepLines w:val="0"/>
        <w:pageBreakBefore w:val="0"/>
        <w:widowControl/>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1、伪造公文骗取用地行为；</w:t>
      </w:r>
    </w:p>
    <w:p>
      <w:pPr>
        <w:pStyle w:val="8"/>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2、非法转让土地使用权行为；</w:t>
      </w:r>
    </w:p>
    <w:p>
      <w:pPr>
        <w:pStyle w:val="8"/>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3、因企业原因造成土地闲置一年以上且至报名日止未处理完结；</w:t>
      </w:r>
    </w:p>
    <w:p>
      <w:pPr>
        <w:pStyle w:val="8"/>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4、未按《国有建设用地使用权出让合同》（以下简称《出让合同》）约定条件开发利用土地且至报名日止未处理完结；</w:t>
      </w:r>
    </w:p>
    <w:p>
      <w:pPr>
        <w:pStyle w:val="8"/>
        <w:keepNext w:val="0"/>
        <w:keepLines w:val="0"/>
        <w:pageBreakBefore w:val="0"/>
        <w:widowControl/>
        <w:kinsoku/>
        <w:wordWrap/>
        <w:overflowPunct/>
        <w:topLinePunct w:val="0"/>
        <w:autoSpaceDE/>
        <w:autoSpaceDN/>
        <w:bidi w:val="0"/>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5、至报名日止仍拖欠政府地价款</w:t>
      </w:r>
      <w:r>
        <w:rPr>
          <w:rFonts w:hint="eastAsia" w:ascii="Times New Roman" w:hAnsi="Times New Roman" w:eastAsia="仿宋_GB2312" w:cs="仿宋_GB2312"/>
          <w:b w:val="0"/>
          <w:bCs w:val="0"/>
          <w:color w:val="auto"/>
          <w:sz w:val="32"/>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80" w:lineRule="exact"/>
        <w:ind w:firstLine="960" w:firstLineChars="3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五、</w:t>
      </w:r>
      <w:r>
        <w:rPr>
          <w:rFonts w:hint="eastAsia" w:ascii="Times New Roman" w:hAnsi="Times New Roman"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80" w:lineRule="exact"/>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（一）</w:t>
      </w:r>
      <w:r>
        <w:rPr>
          <w:rFonts w:hint="eastAsia" w:ascii="Times New Roman" w:hAnsi="Times New Roman"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Times New Roman" w:hAnsi="Times New Roman" w:eastAsia="仿宋_GB2312" w:cs="仿宋_GB2312"/>
          <w:i w:val="0"/>
          <w:iCs w:val="0"/>
          <w:caps w:val="0"/>
          <w:color w:val="auto"/>
          <w:spacing w:val="0"/>
          <w:sz w:val="32"/>
          <w:szCs w:val="32"/>
          <w:shd w:val="clear" w:fill="FFFFFF"/>
        </w:rPr>
        <w:t>，网址：https://www.hzgtjy.com/</w:t>
      </w:r>
      <w:r>
        <w:rPr>
          <w:rFonts w:hint="eastAsia" w:ascii="Times New Roman" w:hAnsi="Times New Roman"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六、</w:t>
      </w:r>
      <w:r>
        <w:rPr>
          <w:rFonts w:hint="eastAsia" w:ascii="Times New Roman" w:hAnsi="Times New Roman"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8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8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九、资格审查</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成交候选人应在网上挂牌交易系统确定成交候选人之日起3个工作日内将竞买申请书等材料上传至土地与矿业网上挂牌交易系统，由我局对竞买资格进行审查。我局将于202</w:t>
      </w:r>
      <w:r>
        <w:rPr>
          <w:rFonts w:hint="eastAsia" w:eastAsia="仿宋_GB2312" w:cs="仿宋_GB2312"/>
          <w:b w:val="0"/>
          <w:bCs w:val="0"/>
          <w:color w:val="auto"/>
          <w:kern w:val="2"/>
          <w:sz w:val="32"/>
          <w:szCs w:val="32"/>
          <w:highlight w:val="none"/>
          <w:lang w:val="en-US" w:eastAsia="zh-CN" w:bidi="ar-SA"/>
        </w:rPr>
        <w:t>4</w:t>
      </w:r>
      <w:r>
        <w:rPr>
          <w:rFonts w:hint="eastAsia" w:ascii="Times New Roman" w:hAnsi="Times New Roman" w:eastAsia="仿宋_GB2312" w:cs="仿宋_GB2312"/>
          <w:b w:val="0"/>
          <w:bCs w:val="0"/>
          <w:color w:val="auto"/>
          <w:kern w:val="2"/>
          <w:sz w:val="32"/>
          <w:szCs w:val="32"/>
          <w:highlight w:val="none"/>
          <w:lang w:val="en-US" w:eastAsia="zh-CN" w:bidi="ar-SA"/>
        </w:rPr>
        <w:t>年</w:t>
      </w:r>
      <w:r>
        <w:rPr>
          <w:rFonts w:hint="eastAsia" w:eastAsia="仿宋_GB2312" w:cs="仿宋_GB2312"/>
          <w:b w:val="0"/>
          <w:bCs w:val="0"/>
          <w:color w:val="auto"/>
          <w:kern w:val="2"/>
          <w:sz w:val="32"/>
          <w:szCs w:val="32"/>
          <w:highlight w:val="none"/>
          <w:lang w:val="en-US" w:eastAsia="zh-CN" w:bidi="ar-SA"/>
        </w:rPr>
        <w:t>3</w:t>
      </w:r>
      <w:r>
        <w:rPr>
          <w:rFonts w:hint="eastAsia" w:ascii="Times New Roman" w:hAnsi="Times New Roman" w:eastAsia="仿宋_GB2312" w:cs="仿宋_GB2312"/>
          <w:b w:val="0"/>
          <w:bCs w:val="0"/>
          <w:color w:val="auto"/>
          <w:kern w:val="2"/>
          <w:sz w:val="32"/>
          <w:szCs w:val="32"/>
          <w:highlight w:val="none"/>
          <w:lang w:val="en-US" w:eastAsia="zh-CN" w:bidi="ar-SA"/>
        </w:rPr>
        <w:t>月</w:t>
      </w:r>
      <w:r>
        <w:rPr>
          <w:rFonts w:hint="eastAsia" w:eastAsia="仿宋_GB2312" w:cs="仿宋_GB2312"/>
          <w:b w:val="0"/>
          <w:bCs w:val="0"/>
          <w:color w:val="auto"/>
          <w:kern w:val="2"/>
          <w:sz w:val="32"/>
          <w:szCs w:val="32"/>
          <w:highlight w:val="none"/>
          <w:lang w:val="en-US" w:eastAsia="zh-CN" w:bidi="ar-SA"/>
        </w:rPr>
        <w:t>18</w:t>
      </w:r>
      <w:r>
        <w:rPr>
          <w:rFonts w:hint="eastAsia" w:ascii="Times New Roman" w:hAnsi="Times New Roman" w:eastAsia="仿宋_GB2312" w:cs="仿宋_GB2312"/>
          <w:b w:val="0"/>
          <w:bCs w:val="0"/>
          <w:color w:val="auto"/>
          <w:kern w:val="2"/>
          <w:sz w:val="32"/>
          <w:szCs w:val="32"/>
          <w:highlight w:val="none"/>
          <w:lang w:val="en-US" w:eastAsia="zh-CN" w:bidi="ar-SA"/>
        </w:rPr>
        <w:t>日前确定符合竞买资格的成交候选人为竞得人（成交候选人上传材料的具体操作详见网上挂牌交易系统资料下载栏目中的《惠州市公共资源交易中心土地与矿业交易系统新增建设功能操作指南》）。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8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联合竞买协议（联合竞买的提供）；</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8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竞得人应在接到竞得人确定通知之日起</w:t>
      </w:r>
      <w:r>
        <w:rPr>
          <w:rFonts w:hint="eastAsia" w:ascii="Times New Roman" w:hAnsi="Times New Roman" w:eastAsia="仿宋_GB2312" w:cs="仿宋_GB2312"/>
          <w:b w:val="0"/>
          <w:bCs w:val="0"/>
          <w:color w:val="auto"/>
          <w:sz w:val="32"/>
          <w:szCs w:val="32"/>
          <w:highlight w:val="none"/>
          <w:u w:val="single"/>
          <w:lang w:val="en-US" w:eastAsia="zh-CN"/>
        </w:rPr>
        <w:t>5</w:t>
      </w:r>
      <w:r>
        <w:rPr>
          <w:rFonts w:hint="eastAsia" w:ascii="Times New Roman" w:hAnsi="Times New Roman" w:eastAsia="仿宋_GB2312" w:cs="仿宋_GB2312"/>
          <w:b w:val="0"/>
          <w:bCs w:val="0"/>
          <w:color w:val="auto"/>
          <w:sz w:val="32"/>
          <w:szCs w:val="32"/>
          <w:highlight w:val="none"/>
        </w:rPr>
        <w:t>个工作日内</w:t>
      </w:r>
      <w:r>
        <w:rPr>
          <w:rFonts w:hint="eastAsia" w:ascii="Times New Roman" w:hAnsi="Times New Roman" w:eastAsia="仿宋_GB2312" w:cs="仿宋_GB2312"/>
          <w:b w:val="0"/>
          <w:bCs w:val="0"/>
          <w:color w:val="auto"/>
          <w:sz w:val="32"/>
          <w:szCs w:val="32"/>
          <w:highlight w:val="none"/>
          <w:lang w:eastAsia="zh-CN"/>
        </w:rPr>
        <w:t>与我局、交易中心</w:t>
      </w:r>
      <w:r>
        <w:rPr>
          <w:rFonts w:hint="eastAsia" w:ascii="Times New Roman" w:hAnsi="Times New Roman" w:eastAsia="仿宋_GB2312" w:cs="仿宋_GB2312"/>
          <w:b w:val="0"/>
          <w:bCs w:val="0"/>
          <w:color w:val="auto"/>
          <w:sz w:val="32"/>
          <w:szCs w:val="32"/>
          <w:highlight w:val="none"/>
        </w:rPr>
        <w:t>签订《成交确认书》，在签订《成交确认书》之日起</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u w:val="none"/>
          <w:lang w:val="en-US" w:eastAsia="zh-CN"/>
        </w:rPr>
        <w:t>个工作日</w:t>
      </w:r>
      <w:r>
        <w:rPr>
          <w:rFonts w:hint="eastAsia" w:ascii="Times New Roman" w:hAnsi="Times New Roman"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签订</w:t>
      </w:r>
      <w:r>
        <w:rPr>
          <w:rFonts w:hint="eastAsia" w:eastAsia="仿宋_GB2312" w:cs="仿宋_GB2312"/>
          <w:b w:val="0"/>
          <w:bCs w:val="0"/>
          <w:color w:val="auto"/>
          <w:sz w:val="32"/>
          <w:szCs w:val="32"/>
          <w:highlight w:val="none"/>
          <w:lang w:eastAsia="zh-CN"/>
        </w:rPr>
        <w:t>《</w:t>
      </w:r>
      <w:r>
        <w:rPr>
          <w:rFonts w:hint="eastAsia" w:eastAsia="仿宋_GB2312" w:cs="仿宋_GB2312"/>
          <w:b w:val="0"/>
          <w:bCs w:val="0"/>
          <w:color w:val="auto"/>
          <w:sz w:val="32"/>
          <w:szCs w:val="32"/>
          <w:highlight w:val="none"/>
          <w:lang w:val="en-US" w:eastAsia="zh-CN"/>
        </w:rPr>
        <w:t>出让</w:t>
      </w:r>
      <w:r>
        <w:rPr>
          <w:rFonts w:hint="eastAsia" w:ascii="Times New Roman" w:hAnsi="Times New Roman" w:eastAsia="仿宋_GB2312" w:cs="仿宋_GB2312"/>
          <w:b w:val="0"/>
          <w:bCs w:val="0"/>
          <w:color w:val="auto"/>
          <w:sz w:val="32"/>
          <w:szCs w:val="32"/>
          <w:highlight w:val="none"/>
        </w:rPr>
        <w:t>合同</w:t>
      </w:r>
      <w:r>
        <w:rPr>
          <w:rFonts w:hint="eastAsia"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，竞得人</w:t>
      </w:r>
      <w:r>
        <w:rPr>
          <w:rFonts w:hint="eastAsia" w:ascii="Times New Roman" w:hAnsi="Times New Roman" w:eastAsia="仿宋_GB2312" w:cs="仿宋_GB2312"/>
          <w:b w:val="0"/>
          <w:bCs w:val="0"/>
          <w:color w:val="auto"/>
          <w:sz w:val="32"/>
          <w:szCs w:val="32"/>
          <w:highlight w:val="none"/>
          <w:shd w:val="clear" w:color="auto" w:fill="auto"/>
          <w:lang w:eastAsia="zh-CN"/>
        </w:rPr>
        <w:t>交</w:t>
      </w:r>
      <w:r>
        <w:rPr>
          <w:rFonts w:hint="eastAsia" w:ascii="Times New Roman" w:hAnsi="Times New Roman" w:eastAsia="仿宋_GB2312" w:cs="仿宋_GB2312"/>
          <w:b w:val="0"/>
          <w:bCs w:val="0"/>
          <w:color w:val="auto"/>
          <w:sz w:val="32"/>
          <w:szCs w:val="32"/>
          <w:highlight w:val="none"/>
          <w:shd w:val="clear" w:color="auto" w:fill="auto"/>
        </w:rPr>
        <w:t>纳</w:t>
      </w:r>
      <w:r>
        <w:rPr>
          <w:rFonts w:hint="eastAsia" w:ascii="Times New Roman" w:hAnsi="Times New Roman" w:eastAsia="仿宋_GB2312" w:cs="仿宋_GB2312"/>
          <w:b w:val="0"/>
          <w:bCs w:val="0"/>
          <w:color w:val="auto"/>
          <w:sz w:val="32"/>
          <w:szCs w:val="32"/>
          <w:highlight w:val="none"/>
        </w:rPr>
        <w:t>的竞买保证金按成交价的</w:t>
      </w:r>
      <w:r>
        <w:rPr>
          <w:rFonts w:hint="eastAsia" w:ascii="Times New Roman" w:hAnsi="Times New Roman" w:eastAsia="仿宋_GB2312" w:cs="仿宋_GB2312"/>
          <w:b w:val="0"/>
          <w:bCs w:val="0"/>
          <w:color w:val="auto"/>
          <w:sz w:val="32"/>
          <w:szCs w:val="32"/>
          <w:highlight w:val="none"/>
          <w:u w:val="single"/>
          <w:lang w:val="en-US" w:eastAsia="zh-CN"/>
        </w:rPr>
        <w:t>20</w:t>
      </w:r>
      <w:r>
        <w:rPr>
          <w:rFonts w:hint="eastAsia" w:ascii="Times New Roman" w:hAnsi="Times New Roman"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8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未竞得人交纳的竞买保证金于电子挂牌交易活动结束之日起5个工作日内原路退还，不计利息。</w:t>
      </w:r>
    </w:p>
    <w:p>
      <w:pPr>
        <w:pStyle w:val="4"/>
        <w:keepNext w:val="0"/>
        <w:keepLines w:val="0"/>
        <w:pageBreakBefore w:val="0"/>
        <w:kinsoku/>
        <w:wordWrap/>
        <w:overflowPunct/>
        <w:topLinePunct w:val="0"/>
        <w:autoSpaceDE/>
        <w:autoSpaceDN/>
        <w:bidi w:val="0"/>
        <w:spacing w:line="48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二</w:t>
      </w:r>
      <w:r>
        <w:rPr>
          <w:rFonts w:hint="eastAsia" w:ascii="Times New Roman" w:hAnsi="Times New Roman"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土地成交价款须以人民币支付,</w:t>
      </w:r>
      <w:r>
        <w:rPr>
          <w:rFonts w:hint="eastAsia" w:ascii="Times New Roman" w:hAnsi="Times New Roman" w:eastAsia="仿宋_GB2312" w:cs="仿宋_GB2312"/>
          <w:b w:val="0"/>
          <w:bCs w:val="0"/>
          <w:color w:val="auto"/>
          <w:sz w:val="32"/>
          <w:szCs w:val="32"/>
          <w:highlight w:val="none"/>
          <w:lang w:val="en-US" w:eastAsia="zh-CN"/>
        </w:rPr>
        <w:t>LM2024-3、</w:t>
      </w:r>
      <w:r>
        <w:rPr>
          <w:rFonts w:hint="default" w:ascii="Times New Roman" w:hAnsi="Times New Roman" w:eastAsia="方正仿宋_GBK" w:cs="Times New Roman"/>
          <w:color w:val="auto"/>
          <w:sz w:val="32"/>
          <w:szCs w:val="32"/>
          <w:highlight w:val="none"/>
          <w:lang w:val="en-US" w:eastAsia="zh-CN"/>
        </w:rPr>
        <w:t>LM202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7、LM2024-9、LM2024-10</w:t>
      </w:r>
      <w:r>
        <w:rPr>
          <w:rFonts w:hint="eastAsia" w:ascii="Times New Roman" w:hAnsi="Times New Roman" w:eastAsia="仿宋_GB2312" w:cs="仿宋_GB2312"/>
          <w:b w:val="0"/>
          <w:bCs w:val="0"/>
          <w:color w:val="auto"/>
          <w:sz w:val="32"/>
          <w:szCs w:val="32"/>
          <w:highlight w:val="none"/>
        </w:rPr>
        <w:t>竞得人在签订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之日起</w:t>
      </w:r>
      <w:r>
        <w:rPr>
          <w:rFonts w:hint="eastAsia" w:ascii="Times New Roman" w:hAnsi="Times New Roman" w:eastAsia="仿宋_GB2312" w:cs="仿宋_GB2312"/>
          <w:b w:val="0"/>
          <w:bCs w:val="0"/>
          <w:color w:val="auto"/>
          <w:sz w:val="32"/>
          <w:szCs w:val="32"/>
          <w:highlight w:val="none"/>
          <w:lang w:val="en-US" w:eastAsia="zh-CN"/>
        </w:rPr>
        <w:t>30</w:t>
      </w:r>
      <w:r>
        <w:rPr>
          <w:rFonts w:hint="eastAsia" w:ascii="Times New Roman" w:hAnsi="Times New Roman" w:eastAsia="仿宋_GB2312" w:cs="仿宋_GB2312"/>
          <w:b w:val="0"/>
          <w:bCs w:val="0"/>
          <w:color w:val="auto"/>
          <w:sz w:val="32"/>
          <w:szCs w:val="32"/>
          <w:highlight w:val="none"/>
        </w:rPr>
        <w:t>日内一次性付清全部成交价款。</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LM2024-6竞得人签订《出让合同》后30日内缴纳不低于全部土地出让价款的50%（含竞买保证金），剩余部分应在《出让合同》签订后1年内缴纳完毕。竞得人在支付第二期及以后各期出让价款时，应当按照支付第一期土地出让价款当日中国人民银行公布的贷款利率向出让方支付利息</w:t>
      </w:r>
      <w:r>
        <w:rPr>
          <w:rFonts w:hint="eastAsia" w:eastAsia="仿宋_GB2312" w:cs="仿宋_GB2312"/>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三</w:t>
      </w:r>
      <w:r>
        <w:rPr>
          <w:rFonts w:hint="eastAsia" w:ascii="Times New Roman" w:hAnsi="Times New Roman"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w:t>
      </w:r>
    </w:p>
    <w:p>
      <w:pPr>
        <w:pStyle w:val="4"/>
        <w:keepNext w:val="0"/>
        <w:keepLines w:val="0"/>
        <w:pageBreakBefore w:val="0"/>
        <w:kinsoku/>
        <w:wordWrap/>
        <w:overflowPunct/>
        <w:topLinePunct w:val="0"/>
        <w:autoSpaceDE/>
        <w:autoSpaceDN/>
        <w:bidi w:val="0"/>
        <w:spacing w:line="48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四</w:t>
      </w:r>
      <w:r>
        <w:rPr>
          <w:rFonts w:hint="eastAsia" w:ascii="Times New Roman" w:hAnsi="Times New Roman"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8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地块动工时间为地块交付之日起一年内，竣工时间为动工之日起三年内（因不可抗</w:t>
      </w:r>
      <w:r>
        <w:rPr>
          <w:rFonts w:hint="eastAsia" w:eastAsia="仿宋_GB2312" w:cs="仿宋_GB2312"/>
          <w:b w:val="0"/>
          <w:bCs w:val="0"/>
          <w:color w:val="auto"/>
          <w:sz w:val="32"/>
          <w:szCs w:val="32"/>
          <w:highlight w:val="none"/>
          <w:lang w:val="en-US" w:eastAsia="zh-CN"/>
        </w:rPr>
        <w:t>力</w:t>
      </w:r>
      <w:r>
        <w:rPr>
          <w:rFonts w:hint="eastAsia" w:ascii="Times New Roman" w:hAnsi="Times New Roman" w:eastAsia="仿宋_GB2312" w:cs="仿宋_GB2312"/>
          <w:b w:val="0"/>
          <w:bCs w:val="0"/>
          <w:color w:val="auto"/>
          <w:sz w:val="32"/>
          <w:szCs w:val="32"/>
          <w:highlight w:val="none"/>
        </w:rPr>
        <w:t>因素除外）；</w:t>
      </w:r>
      <w:r>
        <w:rPr>
          <w:rFonts w:hint="eastAsia" w:eastAsia="仿宋_GB2312"/>
          <w:color w:val="auto"/>
          <w:sz w:val="32"/>
          <w:szCs w:val="32"/>
          <w:highlight w:val="none"/>
        </w:rPr>
        <w:t>未按《出让合同》约定动工及竣工的，按《闲置土地处置办法》的有关规定处置（因不可抗力因素除外）。</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竞得人在付清地价款后一个月内办理交地手续，凭《</w:t>
      </w:r>
      <w:r>
        <w:rPr>
          <w:rFonts w:hint="eastAsia" w:ascii="Times New Roman" w:hAnsi="Times New Roman" w:eastAsia="仿宋_GB2312" w:cs="仿宋_GB2312"/>
          <w:b w:val="0"/>
          <w:bCs w:val="0"/>
          <w:color w:val="auto"/>
          <w:sz w:val="32"/>
          <w:szCs w:val="32"/>
          <w:highlight w:val="none"/>
          <w:lang w:eastAsia="zh-CN"/>
        </w:rPr>
        <w:t>成交</w:t>
      </w:r>
      <w:r>
        <w:rPr>
          <w:rFonts w:hint="eastAsia" w:ascii="Times New Roman" w:hAnsi="Times New Roman" w:eastAsia="仿宋_GB2312" w:cs="仿宋_GB2312"/>
          <w:b w:val="0"/>
          <w:bCs w:val="0"/>
          <w:color w:val="auto"/>
          <w:sz w:val="32"/>
          <w:szCs w:val="32"/>
          <w:highlight w:val="none"/>
        </w:rPr>
        <w:t>确认书》、《出让合同》和地价款交款凭证等申请办理土地初始登记，领取《不动产权证书》。</w:t>
      </w:r>
    </w:p>
    <w:p>
      <w:pPr>
        <w:pStyle w:val="2"/>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五）土地开发及使用规定</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1、</w:t>
      </w:r>
      <w:r>
        <w:rPr>
          <w:rFonts w:eastAsia="仿宋_GB2312"/>
          <w:color w:val="auto"/>
          <w:sz w:val="32"/>
          <w:szCs w:val="32"/>
        </w:rPr>
        <w:t>竞得人</w:t>
      </w:r>
      <w:r>
        <w:rPr>
          <w:rFonts w:hint="eastAsia" w:ascii="Times New Roman" w:hAnsi="Times New Roman" w:eastAsia="仿宋_GB2312" w:cs="仿宋_GB2312"/>
          <w:b w:val="0"/>
          <w:bCs w:val="0"/>
          <w:color w:val="auto"/>
          <w:sz w:val="32"/>
          <w:szCs w:val="32"/>
          <w:highlight w:val="none"/>
        </w:rPr>
        <w:t>在用地红线内开发建设必须按地块规划设计条件说明</w:t>
      </w:r>
      <w:r>
        <w:rPr>
          <w:rFonts w:hint="eastAsia" w:ascii="Times New Roman" w:hAnsi="Times New Roman" w:eastAsia="仿宋_GB2312" w:cs="仿宋_GB2312"/>
          <w:b w:val="0"/>
          <w:bCs w:val="0"/>
          <w:color w:val="auto"/>
          <w:sz w:val="32"/>
          <w:szCs w:val="32"/>
          <w:highlight w:val="none"/>
          <w:lang w:eastAsia="zh-CN"/>
        </w:rPr>
        <w:t>的</w:t>
      </w:r>
      <w:r>
        <w:rPr>
          <w:rFonts w:hint="eastAsia" w:ascii="Times New Roman" w:hAnsi="Times New Roman" w:eastAsia="仿宋_GB2312" w:cs="仿宋_GB2312"/>
          <w:b w:val="0"/>
          <w:bCs w:val="0"/>
          <w:color w:val="auto"/>
          <w:sz w:val="32"/>
          <w:szCs w:val="32"/>
          <w:highlight w:val="none"/>
        </w:rPr>
        <w:t>规划控制指标要求及有关规定进行规划设计</w:t>
      </w:r>
      <w:r>
        <w:rPr>
          <w:rFonts w:hint="eastAsia" w:ascii="Times New Roman" w:hAnsi="Times New Roman"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2、LM202</w:t>
      </w: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w:t>
      </w:r>
      <w:r>
        <w:rPr>
          <w:rFonts w:hint="eastAsia" w:eastAsia="仿宋_GB2312" w:cs="仿宋_GB2312"/>
          <w:b w:val="0"/>
          <w:bCs w:val="0"/>
          <w:color w:val="auto"/>
          <w:sz w:val="32"/>
          <w:szCs w:val="32"/>
          <w:highlight w:val="none"/>
          <w:lang w:val="en-US" w:eastAsia="zh-CN"/>
        </w:rPr>
        <w:t>3地块所经营的产业类型为塑料板、管、型材制造项目；投资强度需不低于人民币4500元/平方米，自土地交付之日起第五个自然年全面达产，达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r>
        <w:rPr>
          <w:rFonts w:hint="eastAsia" w:ascii="Times New Roman" w:hAnsi="Times New Roman" w:eastAsia="仿宋_GB2312" w:cs="仿宋_GB2312"/>
          <w:b w:val="0"/>
          <w:bCs w:val="0"/>
          <w:color w:val="auto"/>
          <w:sz w:val="32"/>
          <w:szCs w:val="32"/>
          <w:highlight w:val="none"/>
          <w:lang w:val="en-US" w:eastAsia="zh-CN"/>
        </w:rPr>
        <w:t>。</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LM2024-7</w:t>
      </w:r>
      <w:r>
        <w:rPr>
          <w:rFonts w:hint="eastAsia" w:eastAsia="仿宋_GB2312" w:cs="仿宋_GB2312"/>
          <w:b w:val="0"/>
          <w:bCs w:val="0"/>
          <w:color w:val="auto"/>
          <w:sz w:val="32"/>
          <w:szCs w:val="32"/>
          <w:highlight w:val="none"/>
          <w:lang w:val="en-US" w:eastAsia="zh-CN"/>
        </w:rPr>
        <w:t>地块所经营的产业类型为风电与光伏发电互补系统技术开发与应用，传统能源与新能源发电互补技术开发及应用项目；投资强度需不低于人民币4500元/平方米，自土地交付之日起第五个自然年全面达产，达产后单位产值不低于人民币9000元/平方米/年、单位税收贡献不低于人民币450元/平方米/</w:t>
      </w:r>
      <w:r>
        <w:rPr>
          <w:rFonts w:hint="eastAsia" w:ascii="Times New Roman" w:hAnsi="Times New Roman" w:eastAsia="仿宋_GB2312" w:cs="仿宋_GB2312"/>
          <w:b w:val="0"/>
          <w:bCs w:val="0"/>
          <w:color w:val="auto"/>
          <w:sz w:val="32"/>
          <w:szCs w:val="32"/>
          <w:highlight w:val="none"/>
          <w:lang w:val="en-US" w:eastAsia="zh-CN"/>
        </w:rPr>
        <w:t>年，竞得土地后3个工作日内（签订《成交确认书》前）与惠州产业转移工业园管委会签订《地块建设和使用监管协议书》，由惠州产业转移工业园管委会对项目用地实施监管。</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val="en-US" w:eastAsia="zh-CN"/>
        </w:rPr>
        <w:t>、LM2024-9地块所经营的产业类型为功能性聚酯（PET）薄膜、热复合节能低碳聚丙烯薄膜项目；投资强度需不低于人民币8623元/平方米，自土地交付之日起第五个自然年全面达产，达产后单位产值不低于人民币17250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eastAsia="仿宋_GB2312" w:cs="仿宋_GB2312"/>
          <w:b w:val="0"/>
          <w:bCs w:val="0"/>
          <w:color w:val="auto"/>
          <w:sz w:val="32"/>
          <w:szCs w:val="32"/>
          <w:highlight w:val="none"/>
          <w:lang w:val="en-US" w:eastAsia="zh-CN"/>
        </w:rPr>
        <w:t>5</w:t>
      </w:r>
      <w:r>
        <w:rPr>
          <w:rFonts w:hint="eastAsia" w:ascii="Times New Roman" w:hAnsi="Times New Roman" w:eastAsia="仿宋_GB2312" w:cs="仿宋_GB2312"/>
          <w:b w:val="0"/>
          <w:bCs w:val="0"/>
          <w:color w:val="auto"/>
          <w:sz w:val="32"/>
          <w:szCs w:val="32"/>
          <w:highlight w:val="none"/>
          <w:lang w:val="en-US" w:eastAsia="zh-CN"/>
        </w:rPr>
        <w:t>、LM2024-10地块所经营的产业类型为功能性聚酯（PET）薄膜、热复合节能低碳聚丙烯薄膜项目；投资强度需不低于人民币8623元/平方米，自土地交付之日起第五个自然年全面达产，达产后单位产值不低于人民币17250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eastAsia="仿宋_GB2312" w:cs="仿宋_GB2312"/>
          <w:b w:val="0"/>
          <w:bCs w:val="0"/>
          <w:color w:val="auto"/>
          <w:sz w:val="32"/>
          <w:szCs w:val="32"/>
          <w:highlight w:val="none"/>
          <w:lang w:val="en-US" w:eastAsia="zh-CN"/>
        </w:rPr>
        <w:t>6</w:t>
      </w:r>
      <w:r>
        <w:rPr>
          <w:rFonts w:hint="eastAsia" w:ascii="Times New Roman" w:hAnsi="Times New Roman" w:eastAsia="仿宋_GB2312" w:cs="仿宋_GB2312"/>
          <w:b w:val="0"/>
          <w:bCs w:val="0"/>
          <w:color w:val="auto"/>
          <w:sz w:val="32"/>
          <w:szCs w:val="32"/>
          <w:highlight w:val="none"/>
          <w:lang w:val="en-US" w:eastAsia="zh-CN"/>
        </w:rPr>
        <w:t>、LM2024-3、L</w:t>
      </w:r>
      <w:r>
        <w:rPr>
          <w:rFonts w:hint="eastAsia" w:ascii="Times New Roman" w:hAnsi="Times New Roman" w:eastAsia="方正仿宋_GBK" w:cs="Times New Roman"/>
          <w:color w:val="auto"/>
          <w:sz w:val="32"/>
          <w:szCs w:val="32"/>
          <w:highlight w:val="none"/>
          <w:lang w:val="en-US" w:eastAsia="zh-CN"/>
        </w:rPr>
        <w:t>M2024-7</w:t>
      </w:r>
      <w:r>
        <w:rPr>
          <w:rFonts w:hint="eastAsia" w:ascii="Times New Roman" w:hAnsi="Times New Roman" w:eastAsia="仿宋_GB2312" w:cs="仿宋_GB2312"/>
          <w:b w:val="0"/>
          <w:bCs w:val="0"/>
          <w:color w:val="auto"/>
          <w:sz w:val="32"/>
          <w:szCs w:val="32"/>
          <w:highlight w:val="none"/>
          <w:lang w:val="en-US" w:eastAsia="zh-CN"/>
        </w:rPr>
        <w:t>、LM2024-9、LM2024-10号地块竞得人在签订《出让合同》前，须向县自然资源局提交《产业发展承诺书》作为《出让合同》的附件。</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lang w:val="en-US" w:eastAsia="zh-CN"/>
        </w:rPr>
        <w:t>六）其他约定事项</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LM2024-6</w:t>
      </w:r>
      <w:r>
        <w:rPr>
          <w:rFonts w:hint="eastAsia" w:ascii="Times New Roman" w:hAnsi="Times New Roman" w:eastAsia="仿宋_GB2312" w:cs="Times New Roman"/>
          <w:color w:val="auto"/>
          <w:sz w:val="32"/>
          <w:szCs w:val="32"/>
          <w:lang w:val="en-US" w:eastAsia="zh-CN"/>
        </w:rPr>
        <w:t>竞买申请人需具备房地产开发资质，且同一企业及控股公司只允许一家企业参与竞买</w:t>
      </w:r>
      <w:r>
        <w:rPr>
          <w:rFonts w:hint="eastAsia" w:ascii="Times New Roman" w:hAnsi="Times New Roman"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LM2024-6</w:t>
      </w:r>
      <w:r>
        <w:rPr>
          <w:rFonts w:hint="eastAsia" w:eastAsia="仿宋_GB2312" w:cs="仿宋_GB2312"/>
          <w:b w:val="0"/>
          <w:bCs w:val="0"/>
          <w:color w:val="auto"/>
          <w:sz w:val="32"/>
          <w:szCs w:val="32"/>
          <w:highlight w:val="none"/>
          <w:lang w:val="en-US" w:eastAsia="zh-CN"/>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eastAsia="仿宋_GB2312" w:cs="仿宋_GB2312"/>
          <w:b w:val="0"/>
          <w:bCs w:val="0"/>
          <w:color w:val="auto"/>
          <w:sz w:val="32"/>
          <w:szCs w:val="32"/>
          <w:highlight w:val="none"/>
          <w:lang w:val="en-US" w:eastAsia="zh-CN"/>
        </w:rPr>
        <w:t>对于经审查资金来源不符合要求的，根据情况采取取消参与资格竞买、取消竞得资格、解除土地出让合同或收回已出让土地等措施，竞买保证金不予返还，一年内不得在龙门县参加土地竞买</w:t>
      </w:r>
      <w:r>
        <w:rPr>
          <w:rFonts w:hint="eastAsia" w:ascii="Times New Roman" w:hAnsi="Times New Roman" w:eastAsia="仿宋_GB2312" w:cs="仿宋_GB2312"/>
          <w:b w:val="0"/>
          <w:bCs w:val="0"/>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pacing w:line="480" w:lineRule="exact"/>
        <w:ind w:leftChars="200" w:firstLine="320" w:firstLineChars="1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十五、</w:t>
      </w:r>
      <w:r>
        <w:rPr>
          <w:rFonts w:hint="eastAsia" w:ascii="Times New Roman" w:hAnsi="Times New Roman"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出让方：</w:t>
      </w:r>
      <w:r>
        <w:rPr>
          <w:rFonts w:hint="eastAsia" w:ascii="Times New Roman" w:hAnsi="Times New Roman" w:eastAsia="仿宋_GB2312" w:cs="仿宋_GB2312"/>
          <w:i w:val="0"/>
          <w:caps w:val="0"/>
          <w:color w:val="auto"/>
          <w:spacing w:val="0"/>
          <w:sz w:val="32"/>
          <w:szCs w:val="32"/>
          <w:highlight w:val="none"/>
          <w:shd w:val="clear" w:color="auto" w:fill="FFFFFF"/>
        </w:rPr>
        <w:t>龙门县自然资源局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地址：龙门县龙田镇龙新公路西埔路段250号龙门县自然资源局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rPr>
        <w:t>联系电话：</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0752</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交易机构：</w:t>
      </w:r>
      <w:r>
        <w:rPr>
          <w:rFonts w:hint="eastAsia" w:ascii="Times New Roman" w:hAnsi="Times New Roman"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联系人：陈先生</w:t>
      </w:r>
      <w:r>
        <w:rPr>
          <w:rFonts w:hint="eastAsia"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rPr>
        <w:t>谢小姐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注：本公告同时在下列网站及</w:t>
      </w:r>
      <w:r>
        <w:rPr>
          <w:rFonts w:hint="eastAsia" w:ascii="Times New Roman" w:hAnsi="Times New Roman" w:eastAsia="仿宋_GB2312" w:cs="仿宋_GB2312"/>
          <w:b w:val="0"/>
          <w:bCs w:val="0"/>
          <w:color w:val="auto"/>
          <w:sz w:val="32"/>
          <w:szCs w:val="32"/>
          <w:highlight w:val="none"/>
          <w:lang w:val="en-US" w:eastAsia="zh-CN"/>
        </w:rPr>
        <w:t>报刊</w:t>
      </w:r>
      <w:r>
        <w:rPr>
          <w:rFonts w:hint="eastAsia" w:ascii="Times New Roman" w:hAnsi="Times New Roman"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中国土地市场网</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lang w:eastAsia="zh-CN"/>
        </w:rPr>
        <w:t>广东</w:t>
      </w:r>
      <w:r>
        <w:rPr>
          <w:rFonts w:hint="eastAsia" w:ascii="Times New Roman" w:hAnsi="Times New Roman" w:eastAsia="仿宋_GB2312" w:cs="仿宋_GB2312"/>
          <w:i w:val="0"/>
          <w:caps w:val="0"/>
          <w:color w:val="auto"/>
          <w:spacing w:val="0"/>
          <w:sz w:val="32"/>
          <w:szCs w:val="32"/>
          <w:highlight w:val="none"/>
          <w:shd w:val="clear" w:color="auto" w:fill="FFFFFF"/>
        </w:rPr>
        <w:t>省公共资源交易平台</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rPr>
        <w:t>广东省自然资源厅</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龙门县人民政府网:（龙门县自然资源局、惠州市公共资源交易中心龙门分中心）</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640" w:right="0" w:hanging="640" w:hanging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80" w:lineRule="exact"/>
        <w:ind w:firstLine="4800" w:firstLineChars="1500"/>
        <w:textAlignment w:val="auto"/>
        <w:rPr>
          <w:rFonts w:hint="eastAsia" w:ascii="Times New Roman" w:hAnsi="Times New Roman"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80" w:lineRule="exact"/>
        <w:ind w:firstLine="4800" w:firstLineChars="1500"/>
        <w:textAlignment w:val="auto"/>
        <w:rPr>
          <w:rFonts w:hint="eastAsia" w:ascii="Times New Roman" w:hAnsi="Times New Roman"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80" w:lineRule="exact"/>
        <w:ind w:firstLine="4800" w:firstLineChars="1500"/>
        <w:textAlignment w:val="auto"/>
        <w:rPr>
          <w:rFonts w:hint="eastAsia" w:ascii="Times New Roman" w:hAnsi="Times New Roman"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龙门县</w:t>
      </w:r>
      <w:r>
        <w:rPr>
          <w:rFonts w:hint="eastAsia" w:ascii="Times New Roman" w:hAnsi="Times New Roman" w:eastAsia="仿宋_GB2312" w:cs="仿宋_GB2312"/>
          <w:b w:val="0"/>
          <w:bCs w:val="0"/>
          <w:color w:val="auto"/>
          <w:sz w:val="32"/>
          <w:szCs w:val="32"/>
          <w:highlight w:val="none"/>
        </w:rPr>
        <w:t>自然资源局</w:t>
      </w:r>
      <w:r>
        <w:rPr>
          <w:rFonts w:hint="eastAsia" w:ascii="Times New Roman" w:hAnsi="Times New Roman"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val="en-US" w:eastAsia="zh-CN"/>
        </w:rPr>
        <w:t xml:space="preserve"> 202</w:t>
      </w: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lang w:val="en-US" w:eastAsia="zh-CN"/>
        </w:rPr>
        <w:t>2</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none"/>
          <w:lang w:val="en-US" w:eastAsia="zh-CN"/>
        </w:rPr>
        <w:t>5</w:t>
      </w:r>
      <w:r>
        <w:rPr>
          <w:rFonts w:hint="eastAsia" w:ascii="Times New Roman" w:hAnsi="Times New Roman"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80" w:lineRule="exact"/>
        <w:textAlignment w:val="auto"/>
        <w:rPr>
          <w:rFonts w:hint="eastAsia" w:ascii="Times New Roman" w:hAnsi="Times New Roman" w:eastAsia="仿宋_GB2312" w:cs="仿宋_GB2312"/>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spacing w:line="480" w:lineRule="exact"/>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附表：</w:t>
      </w:r>
    </w:p>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网上挂牌出让地块规划建设指标及挂牌起始价</w:t>
      </w:r>
    </w:p>
    <w:p>
      <w:pPr>
        <w:keepNext w:val="0"/>
        <w:keepLines w:val="0"/>
        <w:pageBreakBefore w:val="0"/>
        <w:kinsoku/>
        <w:wordWrap/>
        <w:overflowPunct/>
        <w:topLinePunct w:val="0"/>
        <w:autoSpaceDE/>
        <w:autoSpaceDN/>
        <w:bidi w:val="0"/>
        <w:spacing w:line="480" w:lineRule="exact"/>
        <w:jc w:val="both"/>
        <w:rPr>
          <w:rFonts w:hint="eastAsia" w:ascii="Times New Roman" w:hAnsi="Times New Roman" w:eastAsia="仿宋_GB2312"/>
          <w:color w:val="auto"/>
          <w:sz w:val="32"/>
          <w:szCs w:val="32"/>
        </w:rPr>
      </w:pPr>
    </w:p>
    <w:tbl>
      <w:tblPr>
        <w:tblStyle w:val="9"/>
        <w:tblpPr w:leftFromText="180" w:rightFromText="180" w:vertAnchor="text" w:horzAnchor="page" w:tblpX="421" w:tblpY="263"/>
        <w:tblOverlap w:val="never"/>
        <w:tblW w:w="56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1179"/>
        <w:gridCol w:w="980"/>
        <w:gridCol w:w="666"/>
        <w:gridCol w:w="876"/>
        <w:gridCol w:w="775"/>
        <w:gridCol w:w="753"/>
        <w:gridCol w:w="594"/>
        <w:gridCol w:w="724"/>
        <w:gridCol w:w="1227"/>
        <w:gridCol w:w="668"/>
        <w:gridCol w:w="1724"/>
        <w:gridCol w:w="1298"/>
        <w:gridCol w:w="772"/>
        <w:gridCol w:w="857"/>
        <w:gridCol w:w="921"/>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挂牌地块</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编号</w:t>
            </w:r>
          </w:p>
        </w:tc>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土地</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位置</w:t>
            </w:r>
          </w:p>
        </w:tc>
        <w:tc>
          <w:tcPr>
            <w:tcW w:w="9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用地编号</w:t>
            </w:r>
          </w:p>
        </w:tc>
        <w:tc>
          <w:tcPr>
            <w:tcW w:w="6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土地用途</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宗地使用权面积（㎡）</w:t>
            </w:r>
          </w:p>
        </w:tc>
        <w:tc>
          <w:tcPr>
            <w:tcW w:w="7763"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spacing w:line="480" w:lineRule="exact"/>
              <w:jc w:val="center"/>
              <w:textAlignment w:val="top"/>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规划指标要求</w:t>
            </w:r>
          </w:p>
        </w:tc>
        <w:tc>
          <w:tcPr>
            <w:tcW w:w="772"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出让</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年限</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w:t>
            </w:r>
          </w:p>
        </w:tc>
        <w:tc>
          <w:tcPr>
            <w:tcW w:w="8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挂牌起始价</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竞买</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保证金</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加价幅</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度（万元）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trPr>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98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计算指标用地面积（㎡）</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容积率</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建筑密度（%）</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绿地率（%）</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计容积率</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建筑</w:t>
            </w:r>
          </w:p>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面积（㎡）</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建筑高度（m）</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olor w:val="auto"/>
                <w:lang w:val="en-US" w:eastAsia="zh-CN"/>
              </w:rPr>
            </w:pPr>
            <w:r>
              <w:rPr>
                <w:rFonts w:hint="eastAsia" w:ascii="Times New Roman" w:hAnsi="Times New Roman" w:eastAsia="仿宋_GB2312" w:cs="宋体"/>
                <w:i w:val="0"/>
                <w:iCs w:val="0"/>
                <w:color w:val="auto"/>
                <w:kern w:val="0"/>
                <w:sz w:val="21"/>
                <w:szCs w:val="21"/>
                <w:u w:val="none"/>
                <w:lang w:val="en-US" w:eastAsia="zh-CN" w:bidi="ar"/>
              </w:rPr>
              <w:t>机动车停车位配建标准（个/100㎡）</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适建性</w:t>
            </w:r>
          </w:p>
          <w:p>
            <w:pPr>
              <w:pStyle w:val="2"/>
              <w:keepNext w:val="0"/>
              <w:keepLines w:val="0"/>
              <w:pageBreakBefore w:val="0"/>
              <w:kinsoku/>
              <w:wordWrap/>
              <w:overflowPunct/>
              <w:topLinePunct w:val="0"/>
              <w:autoSpaceDE/>
              <w:autoSpaceDN/>
              <w:bidi w:val="0"/>
              <w:spacing w:line="480" w:lineRule="exact"/>
              <w:ind w:left="0" w:leftChars="0" w:firstLine="300" w:firstLineChars="100"/>
            </w:pPr>
          </w:p>
        </w:tc>
        <w:tc>
          <w:tcPr>
            <w:tcW w:w="772"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exact"/>
              <w:jc w:val="center"/>
              <w:rPr>
                <w:rFonts w:hint="eastAsia" w:ascii="Times New Roman" w:hAnsi="Times New Roman" w:eastAsia="仿宋_GB2312"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0000FF"/>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w:t>
            </w:r>
            <w:r>
              <w:rPr>
                <w:rFonts w:hint="eastAsia" w:eastAsia="仿宋_GB2312" w:cs="宋体"/>
                <w:i w:val="0"/>
                <w:iCs w:val="0"/>
                <w:color w:val="auto"/>
                <w:kern w:val="0"/>
                <w:sz w:val="21"/>
                <w:szCs w:val="21"/>
                <w:u w:val="none"/>
                <w:lang w:val="en-US" w:eastAsia="zh-CN" w:bidi="ar"/>
              </w:rPr>
              <w:t>4</w:t>
            </w:r>
            <w:r>
              <w:rPr>
                <w:rFonts w:hint="eastAsia" w:ascii="Times New Roman" w:hAnsi="Times New Roman" w:eastAsia="仿宋_GB2312" w:cs="宋体"/>
                <w:i w:val="0"/>
                <w:iCs w:val="0"/>
                <w:color w:val="auto"/>
                <w:kern w:val="0"/>
                <w:sz w:val="21"/>
                <w:szCs w:val="21"/>
                <w:u w:val="none"/>
                <w:lang w:val="en-US" w:eastAsia="zh-CN" w:bidi="ar"/>
              </w:rPr>
              <w:t>-</w:t>
            </w:r>
            <w:r>
              <w:rPr>
                <w:rFonts w:hint="eastAsia" w:eastAsia="仿宋_GB2312" w:cs="宋体"/>
                <w:i w:val="0"/>
                <w:iCs w:val="0"/>
                <w:color w:val="auto"/>
                <w:kern w:val="0"/>
                <w:sz w:val="21"/>
                <w:szCs w:val="21"/>
                <w:u w:val="none"/>
                <w:lang w:val="en-US" w:eastAsia="zh-CN" w:bidi="ar"/>
              </w:rPr>
              <w:t>3</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0000FF"/>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惠州产业转移工业园中心片区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仿宋_GB2312"/>
                <w:b w:val="0"/>
                <w:bCs w:val="0"/>
                <w:color w:val="0000FF"/>
                <w:sz w:val="24"/>
                <w:szCs w:val="24"/>
                <w:highlight w:val="none"/>
                <w:lang w:val="en-US" w:eastAsia="zh-CN"/>
              </w:rPr>
            </w:pPr>
            <w:r>
              <w:rPr>
                <w:rFonts w:hint="default" w:eastAsia="仿宋_GB2312" w:cs="仿宋_GB2312"/>
                <w:b w:val="0"/>
                <w:bCs w:val="0"/>
                <w:color w:val="auto"/>
                <w:sz w:val="24"/>
                <w:szCs w:val="24"/>
                <w:highlight w:val="none"/>
                <w:lang w:val="en-US" w:eastAsia="zh-CN"/>
              </w:rPr>
              <w:t>YQ05-02-17-04</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kern w:val="0"/>
                <w:sz w:val="21"/>
                <w:szCs w:val="21"/>
                <w:u w:val="none"/>
                <w:lang w:val="en-US" w:eastAsia="zh-CN" w:bidi="ar"/>
              </w:rPr>
            </w:pPr>
            <w:r>
              <w:rPr>
                <w:rFonts w:hint="default"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55391.31</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55391.31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≤3</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kern w:val="0"/>
                <w:sz w:val="21"/>
                <w:szCs w:val="21"/>
                <w:u w:val="none"/>
                <w:lang w:val="en-US" w:eastAsia="zh-CN" w:bidi="ar"/>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仿宋_GB2312"/>
                <w:i w:val="0"/>
                <w:iCs w:val="0"/>
                <w:color w:val="0000FF"/>
                <w:sz w:val="21"/>
                <w:szCs w:val="21"/>
                <w:u w:val="none"/>
                <w:lang w:val="en-US" w:eastAsia="zh-CN"/>
              </w:rPr>
            </w:pPr>
            <w:r>
              <w:rPr>
                <w:rFonts w:hint="eastAsia" w:eastAsia="仿宋_GB2312" w:cs="宋体"/>
                <w:i w:val="0"/>
                <w:iCs w:val="0"/>
                <w:color w:val="auto"/>
                <w:sz w:val="21"/>
                <w:szCs w:val="21"/>
                <w:u w:val="none"/>
                <w:lang w:val="en-US" w:eastAsia="zh-CN"/>
              </w:rPr>
              <w:t>10-20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color w:val="auto"/>
                <w:kern w:val="2"/>
                <w:sz w:val="21"/>
                <w:szCs w:val="21"/>
                <w:u w:val="none"/>
                <w:lang w:val="en-US" w:eastAsia="zh-CN" w:bidi="ar"/>
              </w:rPr>
            </w:pPr>
            <w:r>
              <w:rPr>
                <w:rFonts w:hint="eastAsia" w:eastAsia="仿宋_GB2312" w:cs="宋体"/>
                <w:i w:val="0"/>
                <w:iCs w:val="0"/>
                <w:color w:val="auto"/>
                <w:sz w:val="21"/>
                <w:szCs w:val="21"/>
                <w:u w:val="none"/>
                <w:lang w:val="en-US" w:eastAsia="zh-CN"/>
              </w:rPr>
              <w:t>66469.57</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193869.58</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仿宋_GB2312"/>
                <w:b w:val="0"/>
                <w:bCs w:val="0"/>
                <w:color w:val="0000FF"/>
                <w:sz w:val="24"/>
                <w:szCs w:val="24"/>
                <w:highlight w:val="none"/>
                <w:lang w:val="en-US" w:eastAsia="zh-CN"/>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0000FF"/>
                <w:kern w:val="0"/>
                <w:sz w:val="21"/>
                <w:szCs w:val="21"/>
                <w:u w:val="none"/>
                <w:lang w:val="en-US" w:eastAsia="zh-CN" w:bidi="ar"/>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color w:val="0000FF"/>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default" w:ascii="Times New Roman" w:hAnsi="Times New Roman" w:eastAsia="仿宋_GB2312" w:cs="宋体"/>
                <w:i w:val="0"/>
                <w:iCs w:val="0"/>
                <w:color w:val="auto"/>
                <w:sz w:val="21"/>
                <w:szCs w:val="21"/>
                <w:u w:val="none"/>
                <w:lang w:val="en-US" w:eastAsia="zh-CN"/>
              </w:rPr>
              <w:t>2382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default" w:ascii="Times New Roman" w:hAnsi="Times New Roman" w:eastAsia="仿宋_GB2312" w:cs="宋体"/>
                <w:i w:val="0"/>
                <w:iCs w:val="0"/>
                <w:color w:val="auto"/>
                <w:sz w:val="21"/>
                <w:szCs w:val="21"/>
                <w:u w:val="none"/>
                <w:lang w:val="en-US" w:eastAsia="zh-CN"/>
              </w:rPr>
              <w:t>1191</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default" w:ascii="Times New Roman" w:hAnsi="Times New Roman" w:eastAsia="仿宋_GB2312" w:cs="宋体"/>
                <w:i w:val="0"/>
                <w:iCs w:val="0"/>
                <w:color w:val="auto"/>
                <w:sz w:val="21"/>
                <w:szCs w:val="21"/>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LM2024-6</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0000FF"/>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龙城街道腾飞大道旁</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b w:val="0"/>
                <w:bCs w:val="0"/>
                <w:color w:val="0000FF"/>
                <w:sz w:val="24"/>
                <w:szCs w:val="24"/>
                <w:highlight w:val="none"/>
                <w:lang w:val="en-US" w:eastAsia="zh-CN"/>
              </w:rPr>
            </w:pPr>
            <w:r>
              <w:rPr>
                <w:rFonts w:hint="eastAsia"/>
              </w:rPr>
              <w:t>LM10-01-11</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default" w:eastAsia="仿宋_GB2312" w:cs="宋体"/>
                <w:i w:val="0"/>
                <w:iCs w:val="0"/>
                <w:color w:val="auto"/>
                <w:kern w:val="0"/>
                <w:sz w:val="21"/>
                <w:szCs w:val="21"/>
                <w:u w:val="none"/>
                <w:lang w:val="en-US" w:eastAsia="zh-CN" w:bidi="ar"/>
              </w:rPr>
              <w:t>城镇住宅用地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37762.82</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37762.82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0＜</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≤2.0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1"/>
                <w:szCs w:val="21"/>
                <w:u w:val="none"/>
                <w:lang w:val="en-US" w:eastAsia="zh-CN"/>
              </w:rPr>
            </w:pPr>
            <w:r>
              <w:rPr>
                <w:rFonts w:hint="eastAsia" w:eastAsia="仿宋_GB2312" w:cs="宋体"/>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sz w:val="21"/>
                <w:szCs w:val="21"/>
                <w:u w:val="none"/>
                <w:lang w:val="en-US" w:eastAsia="zh-CN"/>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default" w:ascii="Times New Roman" w:hAnsi="Times New Roman" w:eastAsia="仿宋_GB2312" w:cs="宋体"/>
                <w:i w:val="0"/>
                <w:iCs w:val="0"/>
                <w:color w:val="auto"/>
                <w:kern w:val="0"/>
                <w:sz w:val="21"/>
                <w:szCs w:val="21"/>
                <w:u w:val="none"/>
                <w:lang w:val="en-US" w:eastAsia="zh-CN" w:bidi="ar"/>
              </w:rPr>
              <w:t>37762.82</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75525.64</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≤100</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0"/>
                <w:szCs w:val="20"/>
                <w:u w:val="none"/>
                <w:lang w:val="en-US" w:eastAsia="zh-CN"/>
              </w:rPr>
            </w:pPr>
            <w:r>
              <w:rPr>
                <w:rFonts w:hint="eastAsia" w:eastAsia="仿宋_GB2312" w:cs="仿宋_GB2312"/>
                <w:i w:val="0"/>
                <w:iCs w:val="0"/>
                <w:color w:val="auto"/>
                <w:sz w:val="20"/>
                <w:szCs w:val="20"/>
                <w:u w:val="none"/>
                <w:lang w:val="en-US" w:eastAsia="zh-CN"/>
              </w:rPr>
              <w:t>≥</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70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default" w:ascii="Times New Roman" w:hAnsi="Times New Roman" w:eastAsia="仿宋_GB2312" w:cs="宋体"/>
                <w:i w:val="0"/>
                <w:iCs w:val="0"/>
                <w:color w:val="auto"/>
                <w:sz w:val="21"/>
                <w:szCs w:val="21"/>
                <w:u w:val="none"/>
                <w:lang w:val="en-US" w:eastAsia="zh-CN"/>
              </w:rPr>
              <w:t>10393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1"/>
                <w:szCs w:val="21"/>
                <w:u w:val="none"/>
                <w:lang w:val="en-US" w:eastAsia="zh-CN"/>
              </w:rPr>
            </w:pPr>
            <w:r>
              <w:rPr>
                <w:rFonts w:hint="default" w:ascii="Times New Roman" w:hAnsi="Times New Roman" w:eastAsia="仿宋_GB2312" w:cs="宋体"/>
                <w:i w:val="0"/>
                <w:iCs w:val="0"/>
                <w:color w:val="auto"/>
                <w:sz w:val="21"/>
                <w:szCs w:val="21"/>
                <w:u w:val="none"/>
                <w:lang w:val="en-US" w:eastAsia="zh-CN"/>
              </w:rPr>
              <w:t>2080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center" w:pos="348"/>
                <w:tab w:val="left" w:pos="534"/>
              </w:tabs>
              <w:kinsoku/>
              <w:wordWrap/>
              <w:overflowPunct/>
              <w:topLinePunct w:val="0"/>
              <w:autoSpaceDE/>
              <w:autoSpaceDN/>
              <w:bidi w:val="0"/>
              <w:spacing w:line="480" w:lineRule="exact"/>
              <w:jc w:val="left"/>
              <w:textAlignment w:val="center"/>
              <w:rPr>
                <w:rFonts w:hint="default" w:ascii="Times New Roman" w:hAnsi="Times New Roman" w:eastAsia="仿宋_GB2312" w:cs="宋体"/>
                <w:i w:val="0"/>
                <w:iCs w:val="0"/>
                <w:color w:val="auto"/>
                <w:sz w:val="21"/>
                <w:szCs w:val="21"/>
                <w:u w:val="none"/>
                <w:lang w:val="en-US" w:eastAsia="zh-CN"/>
              </w:rPr>
            </w:pPr>
            <w:r>
              <w:rPr>
                <w:rFonts w:hint="eastAsia" w:eastAsia="仿宋_GB2312" w:cs="宋体"/>
                <w:i w:val="0"/>
                <w:iCs w:val="0"/>
                <w:color w:val="auto"/>
                <w:sz w:val="21"/>
                <w:szCs w:val="21"/>
                <w:u w:val="none"/>
                <w:lang w:val="en-US" w:eastAsia="zh-CN"/>
              </w:rPr>
              <w:t>300</w:t>
            </w:r>
            <w:r>
              <w:rPr>
                <w:rFonts w:hint="eastAsia" w:eastAsia="仿宋_GB2312" w:cs="宋体"/>
                <w:i w:val="0"/>
                <w:iCs w:val="0"/>
                <w:color w:val="auto"/>
                <w:sz w:val="21"/>
                <w:szCs w:val="21"/>
                <w:u w:val="none"/>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LM2024-7</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惠州产业转移工业园北片区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b w:val="0"/>
                <w:bCs w:val="0"/>
                <w:color w:val="0000FF"/>
                <w:sz w:val="24"/>
                <w:szCs w:val="24"/>
                <w:highlight w:val="none"/>
                <w:lang w:val="en-US" w:eastAsia="zh-CN"/>
              </w:rPr>
            </w:pPr>
            <w:r>
              <w:rPr>
                <w:rFonts w:hint="eastAsia" w:eastAsia="仿宋_GB2312" w:cs="仿宋_GB2312"/>
                <w:b w:val="0"/>
                <w:bCs w:val="0"/>
                <w:color w:val="auto"/>
                <w:sz w:val="24"/>
                <w:szCs w:val="24"/>
                <w:highlight w:val="none"/>
                <w:lang w:val="en-US" w:eastAsia="zh-CN"/>
              </w:rPr>
              <w:t>JS6-20-02</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11257.71</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11257.71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6≤</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1"/>
                <w:szCs w:val="21"/>
                <w:u w:val="none"/>
                <w:lang w:val="en-US" w:eastAsia="zh-CN"/>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sz w:val="21"/>
                <w:szCs w:val="21"/>
                <w:u w:val="none"/>
                <w:lang w:val="en-US" w:eastAsia="zh-CN"/>
              </w:rPr>
            </w:pPr>
            <w:r>
              <w:rPr>
                <w:rFonts w:hint="eastAsia" w:eastAsia="仿宋_GB2312" w:cs="宋体"/>
                <w:i w:val="0"/>
                <w:iCs w:val="0"/>
                <w:color w:val="auto"/>
                <w:sz w:val="21"/>
                <w:szCs w:val="21"/>
                <w:u w:val="none"/>
                <w:lang w:val="en-US" w:eastAsia="zh-CN"/>
              </w:rPr>
              <w:t>15-20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0000FF"/>
                <w:kern w:val="2"/>
                <w:sz w:val="21"/>
                <w:szCs w:val="21"/>
                <w:u w:val="none"/>
                <w:lang w:val="en-US" w:eastAsia="zh-CN" w:bidi="ar-SA"/>
              </w:rPr>
            </w:pPr>
            <w:r>
              <w:rPr>
                <w:rFonts w:hint="default" w:ascii="Times New Roman" w:hAnsi="Times New Roman" w:eastAsia="仿宋_GB2312" w:cs="宋体"/>
                <w:i w:val="0"/>
                <w:iCs w:val="0"/>
                <w:color w:val="auto"/>
                <w:kern w:val="0"/>
                <w:sz w:val="21"/>
                <w:szCs w:val="21"/>
                <w:u w:val="none"/>
                <w:lang w:val="en-US" w:eastAsia="zh-CN" w:bidi="ar"/>
              </w:rPr>
              <w:t>18012.33</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28144.27</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0"/>
                <w:szCs w:val="20"/>
                <w:u w:val="none"/>
                <w:lang w:val="en-US" w:eastAsia="zh-CN"/>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default" w:ascii="Times New Roman" w:hAnsi="Times New Roman" w:eastAsia="仿宋_GB2312" w:cs="宋体"/>
                <w:i w:val="0"/>
                <w:iCs w:val="0"/>
                <w:color w:val="auto"/>
                <w:sz w:val="24"/>
                <w:szCs w:val="24"/>
                <w:u w:val="none"/>
                <w:lang w:val="en-US" w:eastAsia="zh-CN"/>
              </w:rPr>
              <w:t>276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eastAsia" w:ascii="Times New Roman" w:hAnsi="Times New Roman" w:eastAsia="仿宋_GB2312" w:cs="宋体"/>
                <w:i w:val="0"/>
                <w:iCs w:val="0"/>
                <w:color w:val="auto"/>
                <w:sz w:val="24"/>
                <w:szCs w:val="24"/>
                <w:u w:val="none"/>
                <w:lang w:val="en-US" w:eastAsia="zh-CN"/>
              </w:rPr>
              <w:t>138</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eastAsia" w:ascii="Times New Roman" w:hAnsi="Times New Roman" w:eastAsia="仿宋_GB2312" w:cs="宋体"/>
                <w:i w:val="0"/>
                <w:iCs w:val="0"/>
                <w:color w:val="auto"/>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LM2024-9</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惠州产业转移工业园中心片区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b w:val="0"/>
                <w:bCs w:val="0"/>
                <w:color w:val="0000FF"/>
                <w:sz w:val="24"/>
                <w:szCs w:val="24"/>
                <w:highlight w:val="none"/>
                <w:lang w:val="en-US" w:eastAsia="zh-CN"/>
              </w:rPr>
            </w:pPr>
            <w:r>
              <w:rPr>
                <w:rFonts w:hint="eastAsia" w:eastAsia="仿宋_GB2312" w:cs="仿宋_GB2312"/>
                <w:b w:val="0"/>
                <w:bCs w:val="0"/>
                <w:color w:val="auto"/>
                <w:sz w:val="24"/>
                <w:szCs w:val="24"/>
                <w:highlight w:val="none"/>
                <w:lang w:val="en-US" w:eastAsia="zh-CN"/>
              </w:rPr>
              <w:t>YQ05-02-01-01</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8734.74</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8734.74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≤3</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1"/>
                <w:szCs w:val="21"/>
                <w:u w:val="none"/>
                <w:lang w:val="en-US" w:eastAsia="zh-CN"/>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仿宋_GB2312"/>
                <w:i w:val="0"/>
                <w:iCs w:val="0"/>
                <w:color w:val="0000FF"/>
                <w:kern w:val="2"/>
                <w:sz w:val="21"/>
                <w:szCs w:val="21"/>
                <w:u w:val="none"/>
                <w:lang w:val="en-US" w:eastAsia="zh-CN" w:bidi="ar-SA"/>
              </w:rPr>
            </w:pPr>
            <w:r>
              <w:rPr>
                <w:rFonts w:hint="eastAsia" w:eastAsia="仿宋_GB2312" w:cs="宋体"/>
                <w:i w:val="0"/>
                <w:iCs w:val="0"/>
                <w:color w:val="auto"/>
                <w:sz w:val="21"/>
                <w:szCs w:val="21"/>
                <w:u w:val="none"/>
                <w:lang w:val="en-US" w:eastAsia="zh-CN"/>
              </w:rPr>
              <w:t>10-20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kern w:val="0"/>
                <w:sz w:val="21"/>
                <w:szCs w:val="21"/>
                <w:u w:val="none"/>
                <w:lang w:val="en-US" w:eastAsia="zh-CN" w:bidi="ar"/>
              </w:rPr>
              <w:t>10481.68</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30571.59</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0"/>
                <w:szCs w:val="20"/>
                <w:u w:val="none"/>
                <w:lang w:val="en-US" w:eastAsia="zh-CN"/>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eastAsia" w:ascii="Times New Roman" w:hAnsi="Times New Roman" w:eastAsia="仿宋_GB2312" w:cs="宋体"/>
                <w:i w:val="0"/>
                <w:iCs w:val="0"/>
                <w:color w:val="auto"/>
                <w:sz w:val="24"/>
                <w:szCs w:val="24"/>
                <w:u w:val="none"/>
                <w:lang w:val="en-US" w:eastAsia="zh-CN"/>
              </w:rPr>
              <w:t>245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eastAsia" w:ascii="Times New Roman" w:hAnsi="Times New Roman" w:eastAsia="仿宋_GB2312" w:cs="宋体"/>
                <w:i w:val="0"/>
                <w:iCs w:val="0"/>
                <w:color w:val="auto"/>
                <w:sz w:val="24"/>
                <w:szCs w:val="24"/>
                <w:u w:val="none"/>
                <w:lang w:val="en-US" w:eastAsia="zh-CN"/>
              </w:rPr>
              <w:t>122.5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eastAsia" w:ascii="Times New Roman" w:hAnsi="Times New Roman" w:eastAsia="仿宋_GB2312" w:cs="宋体"/>
                <w:i w:val="0"/>
                <w:iCs w:val="0"/>
                <w:color w:val="auto"/>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LM2024-10</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惠州产业转移工业园中心片区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YQ05-01-05-02</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工业用地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14229.02</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default" w:ascii="Times New Roman" w:hAnsi="Times New Roman" w:eastAsia="仿宋_GB2312" w:cs="宋体"/>
                <w:i w:val="0"/>
                <w:iCs w:val="0"/>
                <w:color w:val="auto"/>
                <w:kern w:val="0"/>
                <w:sz w:val="21"/>
                <w:szCs w:val="21"/>
                <w:u w:val="none"/>
                <w:lang w:val="en-US" w:eastAsia="zh-CN" w:bidi="ar"/>
              </w:rPr>
              <w:t>14229.02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eastAsia="仿宋_GB2312" w:cs="宋体"/>
                <w:i w:val="0"/>
                <w:iCs w:val="0"/>
                <w:color w:val="0000FF"/>
                <w:sz w:val="21"/>
                <w:szCs w:val="21"/>
                <w:u w:val="none"/>
                <w:lang w:val="en-US" w:eastAsia="zh-CN"/>
              </w:rPr>
            </w:pPr>
            <w:r>
              <w:rPr>
                <w:rFonts w:hint="default" w:eastAsia="仿宋_GB2312" w:cs="宋体"/>
                <w:i w:val="0"/>
                <w:iCs w:val="0"/>
                <w:color w:val="auto"/>
                <w:sz w:val="21"/>
                <w:szCs w:val="21"/>
                <w:u w:val="none"/>
                <w:lang w:val="en-US" w:eastAsia="zh-CN"/>
              </w:rPr>
              <w:t>1.</w:t>
            </w:r>
            <w:r>
              <w:rPr>
                <w:rFonts w:hint="eastAsia" w:eastAsia="仿宋_GB2312" w:cs="宋体"/>
                <w:i w:val="0"/>
                <w:iCs w:val="0"/>
                <w:color w:val="auto"/>
                <w:sz w:val="21"/>
                <w:szCs w:val="21"/>
                <w:u w:val="none"/>
                <w:lang w:val="en-US" w:eastAsia="zh-CN"/>
              </w:rPr>
              <w:t>2≤</w:t>
            </w:r>
            <w:r>
              <w:rPr>
                <w:rFonts w:hint="default" w:eastAsia="仿宋_GB2312" w:cs="宋体"/>
                <w:i w:val="0"/>
                <w:iCs w:val="0"/>
                <w:color w:val="auto"/>
                <w:sz w:val="21"/>
                <w:szCs w:val="21"/>
                <w:u w:val="none"/>
                <w:lang w:val="en-US" w:eastAsia="zh-CN"/>
              </w:rPr>
              <w:t>容积率</w:t>
            </w:r>
            <w:r>
              <w:rPr>
                <w:rFonts w:hint="eastAsia" w:eastAsia="仿宋_GB2312" w:cs="宋体"/>
                <w:i w:val="0"/>
                <w:iCs w:val="0"/>
                <w:color w:val="auto"/>
                <w:sz w:val="21"/>
                <w:szCs w:val="21"/>
                <w:u w:val="none"/>
                <w:lang w:val="en-US" w:eastAsia="zh-CN"/>
              </w:rPr>
              <w:t>≤3</w:t>
            </w:r>
            <w:r>
              <w:rPr>
                <w:rFonts w:hint="default" w:eastAsia="仿宋_GB2312" w:cs="宋体"/>
                <w:i w:val="0"/>
                <w:iCs w:val="0"/>
                <w:color w:val="auto"/>
                <w:sz w:val="21"/>
                <w:szCs w:val="21"/>
                <w:u w:val="none"/>
                <w:lang w:val="en-US" w:eastAsia="zh-CN"/>
              </w:rPr>
              <w:t>.5</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1"/>
                <w:szCs w:val="21"/>
                <w:u w:val="none"/>
                <w:lang w:val="en-US" w:eastAsia="zh-CN"/>
              </w:rPr>
            </w:pPr>
            <w:r>
              <w:rPr>
                <w:rFonts w:hint="eastAsia" w:eastAsia="仿宋_GB2312" w:cs="仿宋_GB2312"/>
                <w:i w:val="0"/>
                <w:iCs w:val="0"/>
                <w:color w:val="auto"/>
                <w:sz w:val="21"/>
                <w:szCs w:val="21"/>
                <w:u w:val="none"/>
                <w:lang w:val="en-US" w:eastAsia="zh-CN"/>
              </w:rPr>
              <w:t>≥</w:t>
            </w:r>
            <w:r>
              <w:rPr>
                <w:rFonts w:hint="eastAsia" w:eastAsia="仿宋_GB2312" w:cs="宋体"/>
                <w:i w:val="0"/>
                <w:iCs w:val="0"/>
                <w:color w:val="auto"/>
                <w:kern w:val="0"/>
                <w:sz w:val="21"/>
                <w:szCs w:val="21"/>
                <w:u w:val="none"/>
                <w:lang w:val="en-US" w:eastAsia="zh-CN" w:bidi="ar"/>
              </w:rPr>
              <w:t>3</w:t>
            </w:r>
            <w:r>
              <w:rPr>
                <w:rFonts w:hint="default" w:eastAsia="仿宋_GB2312" w:cs="宋体"/>
                <w:i w:val="0"/>
                <w:iCs w:val="0"/>
                <w:color w:val="auto"/>
                <w:kern w:val="0"/>
                <w:sz w:val="21"/>
                <w:szCs w:val="21"/>
                <w:u w:val="none"/>
                <w:lang w:val="en-US" w:eastAsia="zh-CN" w:bidi="ar"/>
              </w:rPr>
              <w:t>0</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仿宋_GB2312"/>
                <w:i w:val="0"/>
                <w:iCs w:val="0"/>
                <w:color w:val="0000FF"/>
                <w:kern w:val="2"/>
                <w:sz w:val="21"/>
                <w:szCs w:val="21"/>
                <w:u w:val="none"/>
                <w:lang w:val="en-US" w:eastAsia="zh-CN" w:bidi="ar-SA"/>
              </w:rPr>
            </w:pPr>
            <w:r>
              <w:rPr>
                <w:rFonts w:hint="eastAsia" w:eastAsia="仿宋_GB2312" w:cs="宋体"/>
                <w:i w:val="0"/>
                <w:iCs w:val="0"/>
                <w:color w:val="auto"/>
                <w:sz w:val="21"/>
                <w:szCs w:val="21"/>
                <w:u w:val="none"/>
                <w:lang w:val="en-US" w:eastAsia="zh-CN"/>
              </w:rPr>
              <w:t>10-20</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kern w:val="0"/>
                <w:sz w:val="21"/>
                <w:szCs w:val="21"/>
                <w:u w:val="none"/>
                <w:lang w:val="en-US" w:eastAsia="zh-CN" w:bidi="ar"/>
              </w:rPr>
              <w:t>17074.82</w:t>
            </w:r>
            <w:r>
              <w:rPr>
                <w:rFonts w:hint="eastAsia" w:eastAsia="仿宋_GB2312" w:cs="宋体"/>
                <w:i w:val="0"/>
                <w:iCs w:val="0"/>
                <w:color w:val="auto"/>
                <w:kern w:val="0"/>
                <w:sz w:val="21"/>
                <w:szCs w:val="21"/>
                <w:u w:val="none"/>
                <w:lang w:val="en-US" w:eastAsia="zh-CN" w:bidi="ar"/>
              </w:rPr>
              <w:t>≤面积≤</w:t>
            </w:r>
            <w:r>
              <w:rPr>
                <w:rFonts w:hint="eastAsia" w:eastAsia="仿宋_GB2312" w:cs="宋体"/>
                <w:i w:val="0"/>
                <w:iCs w:val="0"/>
                <w:color w:val="auto"/>
                <w:sz w:val="21"/>
                <w:szCs w:val="21"/>
                <w:u w:val="none"/>
                <w:lang w:val="en-US" w:eastAsia="zh-CN"/>
              </w:rPr>
              <w:t>49801.57</w:t>
            </w:r>
          </w:p>
        </w:tc>
        <w:tc>
          <w:tcPr>
            <w:tcW w:w="6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≤54</w:t>
            </w:r>
          </w:p>
        </w:tc>
        <w:tc>
          <w:tcPr>
            <w:tcW w:w="172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仿宋_GB2312"/>
                <w:i w:val="0"/>
                <w:iCs w:val="0"/>
                <w:color w:val="0000FF"/>
                <w:sz w:val="20"/>
                <w:szCs w:val="20"/>
                <w:u w:val="none"/>
                <w:lang w:val="en-US" w:eastAsia="zh-CN"/>
              </w:rPr>
            </w:pPr>
            <w:r>
              <w:rPr>
                <w:rFonts w:hint="eastAsia" w:eastAsia="仿宋_GB2312" w:cs="仿宋_GB2312"/>
                <w:i w:val="0"/>
                <w:iCs w:val="0"/>
                <w:color w:val="auto"/>
                <w:sz w:val="20"/>
                <w:szCs w:val="20"/>
                <w:u w:val="none"/>
                <w:lang w:val="en-US" w:eastAsia="zh-CN"/>
              </w:rPr>
              <w:t>厂房≥</w:t>
            </w:r>
            <w:r>
              <w:rPr>
                <w:rFonts w:hint="eastAsia" w:ascii="Times New Roman" w:hAnsi="Times New Roman" w:eastAsia="仿宋_GB2312" w:cs="宋体"/>
                <w:i w:val="0"/>
                <w:iCs w:val="0"/>
                <w:color w:val="auto"/>
                <w:kern w:val="0"/>
                <w:sz w:val="20"/>
                <w:szCs w:val="20"/>
                <w:u w:val="none"/>
                <w:lang w:val="en-US" w:eastAsia="zh-CN" w:bidi="ar"/>
              </w:rPr>
              <w:t>0.3个/100平方米计容建筑面积；</w:t>
            </w:r>
            <w:r>
              <w:rPr>
                <w:rFonts w:hint="eastAsia" w:eastAsia="仿宋_GB2312" w:cs="仿宋_GB2312"/>
                <w:i w:val="0"/>
                <w:iCs w:val="0"/>
                <w:color w:val="auto"/>
                <w:sz w:val="20"/>
                <w:szCs w:val="20"/>
                <w:u w:val="none"/>
                <w:lang w:val="en-US" w:eastAsia="zh-CN"/>
              </w:rPr>
              <w:t>行政办公及生活服务设施≥</w:t>
            </w:r>
            <w:r>
              <w:rPr>
                <w:rFonts w:hint="eastAsia" w:ascii="Times New Roman" w:hAnsi="Times New Roman" w:eastAsia="仿宋_GB2312" w:cs="宋体"/>
                <w:i w:val="0"/>
                <w:iCs w:val="0"/>
                <w:color w:val="auto"/>
                <w:kern w:val="0"/>
                <w:sz w:val="20"/>
                <w:szCs w:val="20"/>
                <w:u w:val="none"/>
                <w:lang w:val="en-US" w:eastAsia="zh-CN" w:bidi="ar"/>
              </w:rPr>
              <w:t>1.0个/100平方米计容建筑面积</w:t>
            </w:r>
          </w:p>
        </w:tc>
        <w:tc>
          <w:tcPr>
            <w:tcW w:w="129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行政办公及生活服务设施用地占总用地比重</w:t>
            </w:r>
            <w:r>
              <w:rPr>
                <w:rFonts w:hint="eastAsia" w:eastAsia="仿宋_GB2312" w:cs="宋体"/>
                <w:i w:val="0"/>
                <w:iCs w:val="0"/>
                <w:color w:val="auto"/>
                <w:kern w:val="0"/>
                <w:sz w:val="20"/>
                <w:szCs w:val="20"/>
                <w:u w:val="none"/>
                <w:lang w:val="en-US" w:eastAsia="zh-CN" w:bidi="ar"/>
              </w:rPr>
              <w:t>≤</w:t>
            </w:r>
            <w:r>
              <w:rPr>
                <w:rFonts w:hint="eastAsia" w:eastAsia="仿宋_GB2312" w:cs="宋体"/>
                <w:i w:val="0"/>
                <w:iCs w:val="0"/>
                <w:color w:val="auto"/>
                <w:kern w:val="0"/>
                <w:sz w:val="21"/>
                <w:szCs w:val="21"/>
                <w:u w:val="none"/>
                <w:lang w:val="en-US" w:eastAsia="zh-CN" w:bidi="ar"/>
              </w:rPr>
              <w:t>7%,且建筑面积不得超过项目总计容建筑面积的20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77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eastAsia="仿宋_GB2312" w:cs="宋体"/>
                <w:i w:val="0"/>
                <w:iCs w:val="0"/>
                <w:color w:val="0000FF"/>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50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default" w:ascii="Times New Roman" w:hAnsi="Times New Roman" w:eastAsia="仿宋_GB2312" w:cs="宋体"/>
                <w:i w:val="0"/>
                <w:iCs w:val="0"/>
                <w:color w:val="auto"/>
                <w:sz w:val="24"/>
                <w:szCs w:val="24"/>
                <w:u w:val="none"/>
                <w:lang w:val="en-US" w:eastAsia="zh-CN"/>
              </w:rPr>
              <w:t>399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imes New Roman" w:hAnsi="Times New Roman" w:eastAsia="仿宋_GB2312" w:cs="宋体"/>
                <w:i w:val="0"/>
                <w:iCs w:val="0"/>
                <w:color w:val="auto"/>
                <w:sz w:val="24"/>
                <w:szCs w:val="24"/>
                <w:u w:val="none"/>
                <w:lang w:val="en-US" w:eastAsia="zh-CN"/>
              </w:rPr>
            </w:pPr>
            <w:r>
              <w:rPr>
                <w:rFonts w:hint="default" w:ascii="Times New Roman" w:hAnsi="Times New Roman" w:eastAsia="仿宋_GB2312" w:cs="宋体"/>
                <w:i w:val="0"/>
                <w:iCs w:val="0"/>
                <w:color w:val="auto"/>
                <w:sz w:val="24"/>
                <w:szCs w:val="24"/>
                <w:u w:val="none"/>
                <w:lang w:val="en-US" w:eastAsia="zh-CN"/>
              </w:rPr>
              <w:t>199.5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imes New Roman" w:hAnsi="Times New Roman" w:eastAsia="仿宋_GB2312" w:cs="宋体"/>
                <w:i w:val="0"/>
                <w:iCs w:val="0"/>
                <w:color w:val="auto"/>
                <w:sz w:val="24"/>
                <w:szCs w:val="24"/>
                <w:u w:val="none"/>
                <w:lang w:val="en-US" w:eastAsia="zh-CN"/>
              </w:rPr>
            </w:pPr>
            <w:r>
              <w:rPr>
                <w:rFonts w:hint="eastAsia" w:ascii="Times New Roman" w:hAnsi="Times New Roman" w:eastAsia="仿宋_GB2312" w:cs="宋体"/>
                <w:i w:val="0"/>
                <w:iCs w:val="0"/>
                <w:color w:val="auto"/>
                <w:sz w:val="24"/>
                <w:szCs w:val="24"/>
                <w:u w:val="none"/>
                <w:lang w:val="en-US" w:eastAsia="zh-CN"/>
              </w:rPr>
              <w:t>12</w:t>
            </w:r>
          </w:p>
        </w:tc>
      </w:tr>
    </w:tbl>
    <w:p>
      <w:pPr>
        <w:pStyle w:val="4"/>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Times New Roman" w:hAnsi="Times New Roman" w:eastAsia="仿宋_GB2312" w:cs="仿宋"/>
          <w:b w:val="0"/>
          <w:bCs w:val="0"/>
          <w:color w:val="0000FF"/>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YwNjRmZTA4YzVlNjIzZGRhMzE0ZjAzYjJiMGMifQ=="/>
  </w:docVars>
  <w:rsids>
    <w:rsidRoot w:val="006F43B4"/>
    <w:rsid w:val="00055381"/>
    <w:rsid w:val="00156890"/>
    <w:rsid w:val="00291F43"/>
    <w:rsid w:val="003846E2"/>
    <w:rsid w:val="003D7B27"/>
    <w:rsid w:val="00502E7E"/>
    <w:rsid w:val="00593588"/>
    <w:rsid w:val="00626965"/>
    <w:rsid w:val="00651A33"/>
    <w:rsid w:val="006F43B4"/>
    <w:rsid w:val="00723053"/>
    <w:rsid w:val="00792CF1"/>
    <w:rsid w:val="008D4A14"/>
    <w:rsid w:val="009F2092"/>
    <w:rsid w:val="009F209E"/>
    <w:rsid w:val="00A01903"/>
    <w:rsid w:val="00A26F37"/>
    <w:rsid w:val="00A62B04"/>
    <w:rsid w:val="00A703FF"/>
    <w:rsid w:val="00AB4CB1"/>
    <w:rsid w:val="00AB5656"/>
    <w:rsid w:val="00AB7A64"/>
    <w:rsid w:val="00AE30A8"/>
    <w:rsid w:val="00B4275A"/>
    <w:rsid w:val="00B91373"/>
    <w:rsid w:val="00C31E7B"/>
    <w:rsid w:val="00D75C64"/>
    <w:rsid w:val="00E01788"/>
    <w:rsid w:val="00E070AA"/>
    <w:rsid w:val="00E47A66"/>
    <w:rsid w:val="00E80445"/>
    <w:rsid w:val="00EC35A5"/>
    <w:rsid w:val="00F63C38"/>
    <w:rsid w:val="012F32FC"/>
    <w:rsid w:val="01E50B50"/>
    <w:rsid w:val="02111B48"/>
    <w:rsid w:val="02671C30"/>
    <w:rsid w:val="029E5A65"/>
    <w:rsid w:val="03011BBD"/>
    <w:rsid w:val="03393105"/>
    <w:rsid w:val="033E626C"/>
    <w:rsid w:val="039F6E44"/>
    <w:rsid w:val="03C27117"/>
    <w:rsid w:val="03CE1DE3"/>
    <w:rsid w:val="049F7D86"/>
    <w:rsid w:val="04AA17FE"/>
    <w:rsid w:val="05B31348"/>
    <w:rsid w:val="05D2146A"/>
    <w:rsid w:val="061F2DB1"/>
    <w:rsid w:val="06402201"/>
    <w:rsid w:val="067362EB"/>
    <w:rsid w:val="06BC5E98"/>
    <w:rsid w:val="0706115F"/>
    <w:rsid w:val="08322B52"/>
    <w:rsid w:val="084A7B62"/>
    <w:rsid w:val="08EE04EE"/>
    <w:rsid w:val="09402008"/>
    <w:rsid w:val="09452131"/>
    <w:rsid w:val="0961107C"/>
    <w:rsid w:val="0A0520C0"/>
    <w:rsid w:val="0AE876EE"/>
    <w:rsid w:val="0B1A7CC0"/>
    <w:rsid w:val="0B6643CE"/>
    <w:rsid w:val="0D85261D"/>
    <w:rsid w:val="0DD737A7"/>
    <w:rsid w:val="0E1D2DC4"/>
    <w:rsid w:val="0E2043A5"/>
    <w:rsid w:val="0E2071F3"/>
    <w:rsid w:val="0E2C2AB5"/>
    <w:rsid w:val="0ECF134E"/>
    <w:rsid w:val="0FE550DA"/>
    <w:rsid w:val="101121D2"/>
    <w:rsid w:val="1015409F"/>
    <w:rsid w:val="101713C8"/>
    <w:rsid w:val="102713DB"/>
    <w:rsid w:val="10675AC2"/>
    <w:rsid w:val="10AD17FD"/>
    <w:rsid w:val="10F56E66"/>
    <w:rsid w:val="110903F6"/>
    <w:rsid w:val="11871C18"/>
    <w:rsid w:val="12D666E0"/>
    <w:rsid w:val="12D95D00"/>
    <w:rsid w:val="13055F11"/>
    <w:rsid w:val="13DC2CB8"/>
    <w:rsid w:val="14284055"/>
    <w:rsid w:val="142E39D1"/>
    <w:rsid w:val="143D057B"/>
    <w:rsid w:val="14FF4827"/>
    <w:rsid w:val="150C6F3B"/>
    <w:rsid w:val="156173A0"/>
    <w:rsid w:val="1635589D"/>
    <w:rsid w:val="163663DF"/>
    <w:rsid w:val="166F2BF1"/>
    <w:rsid w:val="176044A8"/>
    <w:rsid w:val="1782529E"/>
    <w:rsid w:val="178C46C9"/>
    <w:rsid w:val="1794192C"/>
    <w:rsid w:val="17EA1735"/>
    <w:rsid w:val="187E669C"/>
    <w:rsid w:val="188B2794"/>
    <w:rsid w:val="19C257C0"/>
    <w:rsid w:val="1A1764E2"/>
    <w:rsid w:val="1A260428"/>
    <w:rsid w:val="1A31098E"/>
    <w:rsid w:val="1A325A0A"/>
    <w:rsid w:val="1B261919"/>
    <w:rsid w:val="1B2A00D1"/>
    <w:rsid w:val="1B3B78EC"/>
    <w:rsid w:val="1BE73F47"/>
    <w:rsid w:val="1C940F54"/>
    <w:rsid w:val="1C9A1178"/>
    <w:rsid w:val="1D097D20"/>
    <w:rsid w:val="1E904230"/>
    <w:rsid w:val="1EF86BDC"/>
    <w:rsid w:val="1F105F15"/>
    <w:rsid w:val="1FB504FE"/>
    <w:rsid w:val="1FFA383F"/>
    <w:rsid w:val="20895C0A"/>
    <w:rsid w:val="222A162B"/>
    <w:rsid w:val="2233323A"/>
    <w:rsid w:val="224E20DB"/>
    <w:rsid w:val="22937891"/>
    <w:rsid w:val="24380802"/>
    <w:rsid w:val="24610AB5"/>
    <w:rsid w:val="247F38AA"/>
    <w:rsid w:val="24C04FDC"/>
    <w:rsid w:val="250733D2"/>
    <w:rsid w:val="25CB448C"/>
    <w:rsid w:val="26404E20"/>
    <w:rsid w:val="276349C5"/>
    <w:rsid w:val="279A39F8"/>
    <w:rsid w:val="27BC0E8D"/>
    <w:rsid w:val="284735C4"/>
    <w:rsid w:val="285B64DE"/>
    <w:rsid w:val="2961771E"/>
    <w:rsid w:val="29695C42"/>
    <w:rsid w:val="29822D29"/>
    <w:rsid w:val="299B6018"/>
    <w:rsid w:val="29C55868"/>
    <w:rsid w:val="29E1316E"/>
    <w:rsid w:val="29F80FE7"/>
    <w:rsid w:val="2A473C52"/>
    <w:rsid w:val="2AF923CF"/>
    <w:rsid w:val="2B6B2AD7"/>
    <w:rsid w:val="2B773392"/>
    <w:rsid w:val="2BC52ED8"/>
    <w:rsid w:val="2BDC076F"/>
    <w:rsid w:val="2C4D00EB"/>
    <w:rsid w:val="2CC9567C"/>
    <w:rsid w:val="2CD27F6C"/>
    <w:rsid w:val="2CF4253F"/>
    <w:rsid w:val="2D432FE7"/>
    <w:rsid w:val="2D930E3D"/>
    <w:rsid w:val="2E7839F5"/>
    <w:rsid w:val="2EA05E4F"/>
    <w:rsid w:val="2EA7602B"/>
    <w:rsid w:val="2F220213"/>
    <w:rsid w:val="2F442A87"/>
    <w:rsid w:val="2F841177"/>
    <w:rsid w:val="2FA25366"/>
    <w:rsid w:val="2FC63EED"/>
    <w:rsid w:val="30134210"/>
    <w:rsid w:val="30CB71E3"/>
    <w:rsid w:val="312C4FA1"/>
    <w:rsid w:val="31301F67"/>
    <w:rsid w:val="31575D41"/>
    <w:rsid w:val="317B22F3"/>
    <w:rsid w:val="31D86DCF"/>
    <w:rsid w:val="322F37A1"/>
    <w:rsid w:val="34013B56"/>
    <w:rsid w:val="355D5FD5"/>
    <w:rsid w:val="364058FF"/>
    <w:rsid w:val="36B610CD"/>
    <w:rsid w:val="37015C42"/>
    <w:rsid w:val="37723635"/>
    <w:rsid w:val="385B29B6"/>
    <w:rsid w:val="385C2E16"/>
    <w:rsid w:val="38B642D4"/>
    <w:rsid w:val="38FE4822"/>
    <w:rsid w:val="39054892"/>
    <w:rsid w:val="39E45D10"/>
    <w:rsid w:val="3A2953C0"/>
    <w:rsid w:val="3A5C1E5A"/>
    <w:rsid w:val="3AB81EF2"/>
    <w:rsid w:val="3AD153F6"/>
    <w:rsid w:val="3B334539"/>
    <w:rsid w:val="3B34068A"/>
    <w:rsid w:val="3B694D14"/>
    <w:rsid w:val="3B905E2B"/>
    <w:rsid w:val="3B9610F4"/>
    <w:rsid w:val="3BB71C2D"/>
    <w:rsid w:val="3BD038FF"/>
    <w:rsid w:val="3BD61A36"/>
    <w:rsid w:val="3D152C6B"/>
    <w:rsid w:val="3EA37E97"/>
    <w:rsid w:val="3EB968CD"/>
    <w:rsid w:val="3EC318D5"/>
    <w:rsid w:val="3EC82FB3"/>
    <w:rsid w:val="3F142B57"/>
    <w:rsid w:val="3F1A7FAA"/>
    <w:rsid w:val="3F3E0AB4"/>
    <w:rsid w:val="3F984213"/>
    <w:rsid w:val="3F9F1F66"/>
    <w:rsid w:val="40127009"/>
    <w:rsid w:val="402B776A"/>
    <w:rsid w:val="40440914"/>
    <w:rsid w:val="40D815AE"/>
    <w:rsid w:val="41115F4D"/>
    <w:rsid w:val="41765C55"/>
    <w:rsid w:val="41B2674A"/>
    <w:rsid w:val="420A51B3"/>
    <w:rsid w:val="428E2D29"/>
    <w:rsid w:val="42F856A5"/>
    <w:rsid w:val="43036017"/>
    <w:rsid w:val="43D3409E"/>
    <w:rsid w:val="44A86E9A"/>
    <w:rsid w:val="44B02520"/>
    <w:rsid w:val="44C84FA4"/>
    <w:rsid w:val="45696BDB"/>
    <w:rsid w:val="45BB5A5F"/>
    <w:rsid w:val="45F97EF6"/>
    <w:rsid w:val="465B0945"/>
    <w:rsid w:val="46AA26AF"/>
    <w:rsid w:val="47A63AC8"/>
    <w:rsid w:val="48526CD7"/>
    <w:rsid w:val="486852F2"/>
    <w:rsid w:val="486B4F45"/>
    <w:rsid w:val="48AD19E8"/>
    <w:rsid w:val="493E5A23"/>
    <w:rsid w:val="49956A4F"/>
    <w:rsid w:val="49B303BC"/>
    <w:rsid w:val="4A081687"/>
    <w:rsid w:val="4A253F1B"/>
    <w:rsid w:val="4A730934"/>
    <w:rsid w:val="4B680126"/>
    <w:rsid w:val="4B9C05ED"/>
    <w:rsid w:val="4BB76F3E"/>
    <w:rsid w:val="4C3E0A00"/>
    <w:rsid w:val="4CA65793"/>
    <w:rsid w:val="4D0F3BE0"/>
    <w:rsid w:val="4D8A139E"/>
    <w:rsid w:val="4DAB41CC"/>
    <w:rsid w:val="4EA93B43"/>
    <w:rsid w:val="4F4141A0"/>
    <w:rsid w:val="4F42590E"/>
    <w:rsid w:val="4F7A44ED"/>
    <w:rsid w:val="4F8B7A92"/>
    <w:rsid w:val="4F9358A7"/>
    <w:rsid w:val="4FB870F0"/>
    <w:rsid w:val="5004570C"/>
    <w:rsid w:val="50680152"/>
    <w:rsid w:val="508C5CA4"/>
    <w:rsid w:val="50C44115"/>
    <w:rsid w:val="50C65541"/>
    <w:rsid w:val="50C67C69"/>
    <w:rsid w:val="51F0468D"/>
    <w:rsid w:val="52146C75"/>
    <w:rsid w:val="5233692D"/>
    <w:rsid w:val="523F6E00"/>
    <w:rsid w:val="52DA17C6"/>
    <w:rsid w:val="52DE48CF"/>
    <w:rsid w:val="52EC3EDC"/>
    <w:rsid w:val="5316652D"/>
    <w:rsid w:val="538928BA"/>
    <w:rsid w:val="53BD4A78"/>
    <w:rsid w:val="54736F09"/>
    <w:rsid w:val="54A67235"/>
    <w:rsid w:val="54A833E0"/>
    <w:rsid w:val="54EA5A43"/>
    <w:rsid w:val="55116550"/>
    <w:rsid w:val="55C0458D"/>
    <w:rsid w:val="57022CD7"/>
    <w:rsid w:val="58C223B5"/>
    <w:rsid w:val="58D008AE"/>
    <w:rsid w:val="59046AD9"/>
    <w:rsid w:val="59B92E76"/>
    <w:rsid w:val="5B6D2AC1"/>
    <w:rsid w:val="5B745643"/>
    <w:rsid w:val="5C0F2B71"/>
    <w:rsid w:val="5C71213D"/>
    <w:rsid w:val="5C8578BA"/>
    <w:rsid w:val="5C866869"/>
    <w:rsid w:val="5C8B7164"/>
    <w:rsid w:val="5CD9542F"/>
    <w:rsid w:val="5E937300"/>
    <w:rsid w:val="5EB43F13"/>
    <w:rsid w:val="5EDC3864"/>
    <w:rsid w:val="5EFB2A62"/>
    <w:rsid w:val="5EFD59EE"/>
    <w:rsid w:val="5F28567D"/>
    <w:rsid w:val="5F300F59"/>
    <w:rsid w:val="5FCF5D35"/>
    <w:rsid w:val="5FE14082"/>
    <w:rsid w:val="602264F2"/>
    <w:rsid w:val="60831582"/>
    <w:rsid w:val="60BC1E76"/>
    <w:rsid w:val="616B0C9C"/>
    <w:rsid w:val="616E11A4"/>
    <w:rsid w:val="62844F25"/>
    <w:rsid w:val="62D13935"/>
    <w:rsid w:val="62F9192B"/>
    <w:rsid w:val="635A435F"/>
    <w:rsid w:val="63CE39A4"/>
    <w:rsid w:val="6414588F"/>
    <w:rsid w:val="65130235"/>
    <w:rsid w:val="6621372E"/>
    <w:rsid w:val="666B0088"/>
    <w:rsid w:val="668D51F5"/>
    <w:rsid w:val="669A30AB"/>
    <w:rsid w:val="66DB07C8"/>
    <w:rsid w:val="66EF038D"/>
    <w:rsid w:val="67C25F42"/>
    <w:rsid w:val="67ED7FD7"/>
    <w:rsid w:val="681D28DD"/>
    <w:rsid w:val="6838006B"/>
    <w:rsid w:val="683F3018"/>
    <w:rsid w:val="684568B6"/>
    <w:rsid w:val="688F22C8"/>
    <w:rsid w:val="68BD0B09"/>
    <w:rsid w:val="68CD7763"/>
    <w:rsid w:val="68CF7B44"/>
    <w:rsid w:val="69961435"/>
    <w:rsid w:val="6A4F4329"/>
    <w:rsid w:val="6AF12B3E"/>
    <w:rsid w:val="6B764F5D"/>
    <w:rsid w:val="6BB94644"/>
    <w:rsid w:val="6BCF0398"/>
    <w:rsid w:val="6C2962AE"/>
    <w:rsid w:val="6C826573"/>
    <w:rsid w:val="6C8919B8"/>
    <w:rsid w:val="6CC322E5"/>
    <w:rsid w:val="6CC65636"/>
    <w:rsid w:val="6CD13316"/>
    <w:rsid w:val="6CE76051"/>
    <w:rsid w:val="6D396ED7"/>
    <w:rsid w:val="6E592BDD"/>
    <w:rsid w:val="6E610BBC"/>
    <w:rsid w:val="6E914841"/>
    <w:rsid w:val="6EAF7707"/>
    <w:rsid w:val="6EB1052D"/>
    <w:rsid w:val="6ECB4321"/>
    <w:rsid w:val="6F127859"/>
    <w:rsid w:val="6F2474E3"/>
    <w:rsid w:val="6F5C1182"/>
    <w:rsid w:val="6F863CF9"/>
    <w:rsid w:val="6FCC5ECE"/>
    <w:rsid w:val="71576811"/>
    <w:rsid w:val="71B67D83"/>
    <w:rsid w:val="71CF0BED"/>
    <w:rsid w:val="71D66846"/>
    <w:rsid w:val="723C3332"/>
    <w:rsid w:val="726873F0"/>
    <w:rsid w:val="729D59B3"/>
    <w:rsid w:val="731759FD"/>
    <w:rsid w:val="734164C7"/>
    <w:rsid w:val="7435605F"/>
    <w:rsid w:val="746E7275"/>
    <w:rsid w:val="751A7E63"/>
    <w:rsid w:val="769D02A6"/>
    <w:rsid w:val="769E7B7B"/>
    <w:rsid w:val="76AC6A44"/>
    <w:rsid w:val="77852CA3"/>
    <w:rsid w:val="778B6418"/>
    <w:rsid w:val="779A0D22"/>
    <w:rsid w:val="77B73F34"/>
    <w:rsid w:val="78BB0EB8"/>
    <w:rsid w:val="78CC2B01"/>
    <w:rsid w:val="79055BA7"/>
    <w:rsid w:val="7933195B"/>
    <w:rsid w:val="793D7B1F"/>
    <w:rsid w:val="79640BE1"/>
    <w:rsid w:val="79D044EF"/>
    <w:rsid w:val="7A436452"/>
    <w:rsid w:val="7A6A3136"/>
    <w:rsid w:val="7AFD1570"/>
    <w:rsid w:val="7B435470"/>
    <w:rsid w:val="7B69523A"/>
    <w:rsid w:val="7B6E62FB"/>
    <w:rsid w:val="7BB44569"/>
    <w:rsid w:val="7C4B3DAD"/>
    <w:rsid w:val="7CFD5584"/>
    <w:rsid w:val="7D152A41"/>
    <w:rsid w:val="7D810E5F"/>
    <w:rsid w:val="7D84768B"/>
    <w:rsid w:val="7DA912DF"/>
    <w:rsid w:val="7E106644"/>
    <w:rsid w:val="7E210157"/>
    <w:rsid w:val="7E2D0B3F"/>
    <w:rsid w:val="7E341C7F"/>
    <w:rsid w:val="7E89239D"/>
    <w:rsid w:val="7ECD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1"/>
    <w:basedOn w:val="1"/>
    <w:next w:val="3"/>
    <w:autoRedefine/>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autoRedefine/>
    <w:qFormat/>
    <w:uiPriority w:val="0"/>
    <w:pPr>
      <w:spacing w:after="120" w:line="480" w:lineRule="auto"/>
      <w:ind w:left="420" w:leftChars="200"/>
    </w:pPr>
  </w:style>
  <w:style w:type="paragraph" w:styleId="4">
    <w:name w:val="Normal Indent"/>
    <w:basedOn w:val="1"/>
    <w:autoRedefine/>
    <w:unhideWhenUsed/>
    <w:qFormat/>
    <w:uiPriority w:val="0"/>
    <w:pPr>
      <w:ind w:firstLine="420" w:firstLineChars="200"/>
    </w:pPr>
  </w:style>
  <w:style w:type="paragraph" w:styleId="5">
    <w:name w:val="Body Text Indent"/>
    <w:basedOn w:val="1"/>
    <w:autoRedefine/>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jc w:val="left"/>
    </w:pPr>
    <w:rPr>
      <w:kern w:val="0"/>
      <w:sz w:val="24"/>
    </w:rPr>
  </w:style>
  <w:style w:type="character" w:styleId="11">
    <w:name w:val="page number"/>
    <w:basedOn w:val="10"/>
    <w:autoRedefine/>
    <w:qFormat/>
    <w:uiPriority w:val="0"/>
  </w:style>
  <w:style w:type="paragraph" w:customStyle="1" w:styleId="12">
    <w:name w:val="批注文字 New New"/>
    <w:basedOn w:val="1"/>
    <w:autoRedefine/>
    <w:qFormat/>
    <w:uiPriority w:val="0"/>
    <w:pPr>
      <w:jc w:val="left"/>
    </w:pPr>
    <w:rPr>
      <w:szCs w:val="20"/>
    </w:rPr>
  </w:style>
  <w:style w:type="character" w:customStyle="1" w:styleId="13">
    <w:name w:val="页眉 Char"/>
    <w:basedOn w:val="10"/>
    <w:link w:val="7"/>
    <w:autoRedefine/>
    <w:semiHidden/>
    <w:qFormat/>
    <w:uiPriority w:val="99"/>
    <w:rPr>
      <w:rFonts w:ascii="Times New Roman" w:hAnsi="Times New Roman" w:eastAsia="宋体" w:cs="Times New Roman"/>
      <w:sz w:val="18"/>
      <w:szCs w:val="18"/>
    </w:rPr>
  </w:style>
  <w:style w:type="character" w:customStyle="1" w:styleId="14">
    <w:name w:val="页脚 Char"/>
    <w:basedOn w:val="10"/>
    <w:link w:val="6"/>
    <w:autoRedefine/>
    <w:qFormat/>
    <w:uiPriority w:val="99"/>
    <w:rPr>
      <w:rFonts w:ascii="Times New Roman" w:hAnsi="Times New Roman" w:eastAsia="宋体" w:cs="Times New Roman"/>
      <w:sz w:val="18"/>
      <w:szCs w:val="18"/>
    </w:rPr>
  </w:style>
  <w:style w:type="character" w:customStyle="1" w:styleId="15">
    <w:name w:val="font01"/>
    <w:basedOn w:val="10"/>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4137</Words>
  <Characters>4510</Characters>
  <Lines>27</Lines>
  <Paragraphs>7</Paragraphs>
  <TotalTime>9</TotalTime>
  <ScaleCrop>false</ScaleCrop>
  <LinksUpToDate>false</LinksUpToDate>
  <CharactersWithSpaces>4567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2024-01-25T06:54:00Z</cp:lastPrinted>
  <dcterms:modified xsi:type="dcterms:W3CDTF">2024-02-06T08:39:21Z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387FE4D95F9C4FFEB24826A588F4D90F_13</vt:lpwstr>
  </property>
</Properties>
</file>