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网上挂牌</w:t>
      </w:r>
      <w:r>
        <w:rPr>
          <w:rFonts w:hint="eastAsia" w:ascii="方正小标宋简体" w:hAnsi="方正小标宋简体" w:eastAsia="方正小标宋简体" w:cs="方正小标宋简体"/>
          <w:b w:val="0"/>
          <w:bCs w:val="0"/>
          <w:sz w:val="44"/>
          <w:szCs w:val="44"/>
        </w:rPr>
        <w:t>出让</w:t>
      </w:r>
      <w:r>
        <w:rPr>
          <w:rFonts w:hint="eastAsia" w:ascii="方正小标宋简体" w:hAnsi="方正小标宋简体" w:eastAsia="方正小标宋简体" w:cs="方正小标宋简体"/>
          <w:b w:val="0"/>
          <w:bCs w:val="0"/>
          <w:spacing w:val="3"/>
          <w:sz w:val="44"/>
          <w:szCs w:val="44"/>
          <w:lang w:val="en-US" w:eastAsia="zh-CN"/>
        </w:rPr>
        <w:t>须知</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pPr>
        <w:rPr>
          <w:rFonts w:hint="eastAsia" w:ascii="仿宋_GB2312" w:hAnsi="仿宋_GB2312" w:eastAsia="仿宋_GB2312" w:cs="仿宋_GB2312"/>
          <w:sz w:val="32"/>
          <w:szCs w:val="32"/>
        </w:rPr>
      </w:pP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（一）挂牌地块编号：GP20</w:t>
      </w:r>
      <w:r>
        <w:rPr>
          <w:rFonts w:hint="default"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（二</w:t>
      </w:r>
      <w:r>
        <w:rPr>
          <w:rFonts w:hint="default" w:ascii="仿宋_GB2312" w:hAnsi="仿宋_GB2312" w:eastAsia="仿宋_GB2312" w:cs="仿宋_GB2312"/>
          <w:sz w:val="32"/>
          <w:szCs w:val="32"/>
          <w:lang w:val="en-US" w:eastAsia="zh-CN"/>
        </w:rPr>
        <w:t>）地块位置：惠州市惠城区</w:t>
      </w:r>
      <w:r>
        <w:rPr>
          <w:rFonts w:hint="default" w:ascii="仿宋_GB2312" w:hAnsi="仿宋_GB2312" w:eastAsia="仿宋_GB2312" w:cs="仿宋_GB2312"/>
          <w:sz w:val="32"/>
          <w:szCs w:val="32"/>
        </w:rPr>
        <w:t>鹿江沥南岸LJL-47-24地块</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（三）规划编号：</w:t>
      </w:r>
      <w:r>
        <w:rPr>
          <w:rFonts w:hint="eastAsia" w:ascii="仿宋_GB2312" w:hAnsi="仿宋_GB2312" w:eastAsia="仿宋_GB2312" w:cs="仿宋_GB2312"/>
          <w:sz w:val="32"/>
          <w:szCs w:val="32"/>
          <w:lang w:val="en-US" w:eastAsia="zh-CN"/>
        </w:rPr>
        <w:t>LJL-47-24</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eastAsia="zh-CN"/>
        </w:rPr>
        <w:t>《建设用地红线图》</w:t>
      </w:r>
      <w:r>
        <w:rPr>
          <w:rFonts w:hint="default" w:ascii="仿宋_GB2312" w:hAnsi="仿宋_GB2312" w:eastAsia="仿宋_GB2312" w:cs="仿宋_GB2312"/>
          <w:sz w:val="32"/>
          <w:szCs w:val="32"/>
        </w:rPr>
        <w:t>为准，宗地竖向界限以《规划设计条件告知书》（案卷编号：PB2021</w:t>
      </w:r>
      <w:r>
        <w:rPr>
          <w:rFonts w:hint="eastAsia" w:ascii="仿宋_GB2312" w:hAnsi="仿宋_GB2312" w:eastAsia="仿宋_GB2312" w:cs="仿宋_GB2312"/>
          <w:sz w:val="32"/>
          <w:szCs w:val="32"/>
          <w:lang w:val="en-US" w:eastAsia="zh-CN"/>
        </w:rPr>
        <w:t>0031</w:t>
      </w:r>
      <w:r>
        <w:rPr>
          <w:rFonts w:hint="default" w:ascii="仿宋_GB2312" w:hAnsi="仿宋_GB2312" w:eastAsia="仿宋_GB2312" w:cs="仿宋_GB2312"/>
          <w:sz w:val="32"/>
          <w:szCs w:val="32"/>
        </w:rPr>
        <w:t>）规定为准；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宗地使用权面积为：</w:t>
      </w:r>
      <w:r>
        <w:rPr>
          <w:rFonts w:hint="eastAsia" w:ascii="仿宋_GB2312" w:hAnsi="仿宋_GB2312" w:eastAsia="仿宋_GB2312" w:cs="仿宋_GB2312"/>
          <w:sz w:val="32"/>
          <w:szCs w:val="32"/>
          <w:lang w:val="en-US" w:eastAsia="zh-CN"/>
        </w:rPr>
        <w:t>37352.76</w:t>
      </w:r>
      <w:r>
        <w:rPr>
          <w:rFonts w:hint="default" w:ascii="仿宋_GB2312" w:hAnsi="仿宋_GB2312" w:eastAsia="仿宋_GB2312" w:cs="仿宋_GB2312"/>
          <w:sz w:val="32"/>
          <w:szCs w:val="32"/>
          <w:lang w:val="en-US" w:eastAsia="zh-CN"/>
        </w:rPr>
        <w:t>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（六）计算指标用地面积为：</w:t>
      </w:r>
      <w:r>
        <w:rPr>
          <w:rFonts w:hint="eastAsia" w:ascii="仿宋_GB2312" w:hAnsi="仿宋_GB2312" w:eastAsia="仿宋_GB2312" w:cs="仿宋_GB2312"/>
          <w:sz w:val="32"/>
          <w:szCs w:val="32"/>
          <w:lang w:val="en-US" w:eastAsia="zh-CN"/>
        </w:rPr>
        <w:t>44678.16</w:t>
      </w:r>
      <w:r>
        <w:rPr>
          <w:rFonts w:hint="default" w:ascii="仿宋_GB2312" w:hAnsi="仿宋_GB2312" w:eastAsia="仿宋_GB2312" w:cs="仿宋_GB2312"/>
          <w:sz w:val="32"/>
          <w:szCs w:val="32"/>
          <w:lang w:val="en-US" w:eastAsia="zh-CN"/>
        </w:rPr>
        <w:t>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（七）计容积率建筑面积为：≤129566㎡；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（八）容积率为：≤</w:t>
      </w:r>
      <w:r>
        <w:rPr>
          <w:rFonts w:hint="eastAsia" w:ascii="仿宋_GB2312" w:hAnsi="仿宋_GB2312" w:eastAsia="仿宋_GB2312" w:cs="仿宋_GB2312"/>
          <w:sz w:val="32"/>
          <w:szCs w:val="32"/>
          <w:lang w:val="en-US" w:eastAsia="zh-CN"/>
        </w:rPr>
        <w:t>2.9</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（九）建筑密度为：≤22%；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十）绿地率为：≥35％；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十一</w:t>
      </w:r>
      <w:r>
        <w:rPr>
          <w:rFonts w:hint="default" w:ascii="仿宋_GB2312" w:hAnsi="仿宋_GB2312" w:eastAsia="仿宋_GB2312" w:cs="仿宋_GB2312"/>
          <w:sz w:val="32"/>
          <w:szCs w:val="32"/>
        </w:rPr>
        <w:t>）机动车停车位配建标准</w:t>
      </w:r>
      <w:r>
        <w:rPr>
          <w:rFonts w:hint="default" w:ascii="仿宋_GB2312" w:hAnsi="仿宋_GB2312" w:eastAsia="仿宋_GB2312" w:cs="仿宋_GB2312"/>
          <w:sz w:val="32"/>
          <w:szCs w:val="32"/>
          <w:lang w:eastAsia="zh-CN"/>
        </w:rPr>
        <w:t>：每100㎡计容积率面积≥1个</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十二</w:t>
      </w:r>
      <w:r>
        <w:rPr>
          <w:rFonts w:hint="default" w:ascii="仿宋_GB2312" w:hAnsi="仿宋_GB2312" w:eastAsia="仿宋_GB2312" w:cs="仿宋_GB2312"/>
          <w:sz w:val="32"/>
          <w:szCs w:val="32"/>
        </w:rPr>
        <w:t>）土地用途为：城镇住宅</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rPr>
        <w:t>商服用地；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w:t>
      </w:r>
      <w:r>
        <w:rPr>
          <w:rFonts w:hint="default"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rPr>
        <w:t>）土地使用权出让年期为：住宅70年、商服40年；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w:t>
      </w:r>
      <w:r>
        <w:rPr>
          <w:rFonts w:hint="default"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rPr>
        <w:t>）适建性：住宅、商业及配套设施；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w:t>
      </w:r>
      <w:r>
        <w:rPr>
          <w:rFonts w:hint="default"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rPr>
        <w:t>）动工及竣工时间：地块动工时间为地块交付之日起一年内，竣工时间为动工之日起三年内（因不可抗拒因素除外）；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rPr>
      </w:pPr>
      <w:r>
        <w:rPr>
          <w:rFonts w:hint="default" w:ascii="仿宋_GB2312" w:hAnsi="仿宋_GB2312" w:eastAsia="仿宋_GB2312" w:cs="仿宋_GB2312"/>
          <w:sz w:val="32"/>
          <w:szCs w:val="32"/>
        </w:rPr>
        <w:t>（十</w:t>
      </w:r>
      <w:r>
        <w:rPr>
          <w:rFonts w:hint="default"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rPr>
        <w:t>）竞得人在缴清地价款后一个月内办理交地手续，凭《交地确认书》</w:t>
      </w:r>
      <w:r>
        <w:rPr>
          <w:rFonts w:hint="default" w:ascii="仿宋_GB2312" w:hAnsi="仿宋_GB2312" w:eastAsia="仿宋_GB2312" w:cs="仿宋_GB2312"/>
          <w:sz w:val="32"/>
          <w:szCs w:val="32"/>
          <w:lang w:eastAsia="zh-CN"/>
        </w:rPr>
        <w:t>、《出让合同》（</w:t>
      </w:r>
      <w:r>
        <w:rPr>
          <w:rFonts w:hint="default" w:ascii="仿宋_GB2312" w:hAnsi="仿宋_GB2312" w:eastAsia="仿宋_GB2312" w:cs="仿宋_GB2312"/>
          <w:sz w:val="32"/>
          <w:szCs w:val="32"/>
          <w:lang w:val="en-US" w:eastAsia="zh-CN"/>
        </w:rPr>
        <w:t>正本</w:t>
      </w:r>
      <w:r>
        <w:rPr>
          <w:rFonts w:hint="default" w:ascii="仿宋_GB2312" w:hAnsi="仿宋_GB2312" w:eastAsia="仿宋_GB2312" w:cs="仿宋_GB2312"/>
          <w:sz w:val="32"/>
          <w:szCs w:val="32"/>
          <w:lang w:eastAsia="zh-CN"/>
        </w:rPr>
        <w:t>）和地价款交款凭证等</w:t>
      </w:r>
      <w:r>
        <w:rPr>
          <w:rFonts w:hint="default" w:ascii="仿宋_GB2312" w:hAnsi="仿宋_GB2312" w:eastAsia="仿宋_GB2312" w:cs="仿宋_GB2312"/>
          <w:sz w:val="32"/>
          <w:szCs w:val="32"/>
        </w:rPr>
        <w:t>申请办理土地初始登记，领取《不动产权证书》。</w:t>
      </w:r>
      <w:r>
        <w:rPr>
          <w:rFonts w:hint="default" w:ascii="Times New Roman" w:hAnsi="Times New Roman" w:eastAsia="仿宋_GB2312" w:cs="Times New Roman"/>
          <w:sz w:val="32"/>
          <w:szCs w:val="32"/>
        </w:rPr>
        <w:t xml:space="preserve"> </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b w:val="0"/>
          <w:bCs w:val="0"/>
          <w:kern w:val="2"/>
          <w:sz w:val="32"/>
          <w:szCs w:val="32"/>
          <w:lang w:val="en-US" w:eastAsia="zh-CN" w:bidi="ar-SA"/>
        </w:rPr>
        <w:t>118870</w:t>
      </w:r>
      <w:r>
        <w:rPr>
          <w:rFonts w:hint="eastAsia" w:ascii="仿宋_GB2312" w:hAnsi="仿宋_GB2312" w:eastAsia="仿宋_GB2312" w:cs="仿宋_GB2312"/>
          <w:sz w:val="32"/>
          <w:szCs w:val="32"/>
        </w:rPr>
        <w:t>万元（含地价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三</w:t>
      </w:r>
      <w:r>
        <w:rPr>
          <w:rFonts w:hint="eastAsia" w:ascii="仿宋_GB2312" w:hAnsi="仿宋_GB2312" w:eastAsia="仿宋_GB2312" w:cs="仿宋_GB2312"/>
          <w:kern w:val="2"/>
          <w:sz w:val="32"/>
          <w:szCs w:val="32"/>
          <w:lang w:eastAsia="zh-CN"/>
        </w:rPr>
        <w:t>）该地属政府储备地，没有法律经济纠纷，具备动工开发所必须的基本条件</w:t>
      </w:r>
      <w:r>
        <w:rPr>
          <w:rFonts w:hint="eastAsia" w:ascii="仿宋_GB2312" w:hAnsi="仿宋_GB2312" w:eastAsia="仿宋_GB2312" w:cs="仿宋_GB2312"/>
          <w:kern w:val="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sz w:val="32"/>
          <w:szCs w:val="32"/>
        </w:rPr>
        <w:t>竞得人在用地红线内开发建设必须符合城市规划要求，必须按《规划设计条件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PB20210031</w:t>
      </w:r>
      <w:r>
        <w:rPr>
          <w:rFonts w:hint="eastAsia" w:ascii="仿宋_GB2312" w:hAnsi="仿宋_GB2312" w:eastAsia="仿宋_GB2312" w:cs="仿宋_GB2312"/>
          <w:sz w:val="32"/>
          <w:szCs w:val="32"/>
        </w:rPr>
        <w:t>）规划控制指标要求及有关规定进行规划设计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w:t>
      </w:r>
      <w:r>
        <w:rPr>
          <w:rFonts w:hint="eastAsia" w:ascii="仿宋_GB2312" w:hAnsi="仿宋_GB2312" w:eastAsia="仿宋_GB2312" w:cs="仿宋_GB2312"/>
          <w:kern w:val="2"/>
          <w:sz w:val="32"/>
          <w:szCs w:val="32"/>
          <w:lang w:val="en-US" w:eastAsia="zh-CN" w:bidi="ar-SA"/>
        </w:rPr>
        <w:t>该地块所建单套毛坯商品住宅销售单价不高于19000元/㎡</w:t>
      </w:r>
      <w:r>
        <w:rPr>
          <w:rFonts w:hint="eastAsia" w:ascii="仿宋_GB2312" w:hAnsi="仿宋_GB2312" w:eastAsia="仿宋_GB2312" w:cs="仿宋_GB2312"/>
          <w:kern w:val="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（六）竞得人须按《规划设计条件告知书》（案卷编号：PB20210031）要求配建相关配套设施。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color w:val="auto"/>
          <w:kern w:val="2"/>
          <w:sz w:val="32"/>
          <w:szCs w:val="32"/>
          <w:highlight w:val="none"/>
        </w:rPr>
        <w:t>竞得人须</w:t>
      </w:r>
      <w:r>
        <w:rPr>
          <w:rFonts w:hint="eastAsia" w:ascii="仿宋_GB2312" w:hAnsi="仿宋_GB2312" w:eastAsia="仿宋_GB2312" w:cs="仿宋_GB2312"/>
          <w:color w:val="auto"/>
          <w:kern w:val="2"/>
          <w:sz w:val="32"/>
          <w:szCs w:val="32"/>
          <w:highlight w:val="none"/>
          <w:lang w:eastAsia="zh-CN"/>
        </w:rPr>
        <w:t>按市委组织部出具的《鹿江沥南岸片区</w:t>
      </w:r>
      <w:r>
        <w:rPr>
          <w:rFonts w:hint="eastAsia" w:ascii="仿宋_GB2312" w:hAnsi="仿宋_GB2312" w:eastAsia="仿宋_GB2312" w:cs="仿宋_GB2312"/>
          <w:color w:val="auto"/>
          <w:kern w:val="2"/>
          <w:sz w:val="32"/>
          <w:szCs w:val="32"/>
          <w:highlight w:val="none"/>
          <w:lang w:val="en-US" w:eastAsia="zh-CN"/>
        </w:rPr>
        <w:t>LJL47-24地块配建人才房建设要求》</w:t>
      </w:r>
      <w:r>
        <w:rPr>
          <w:rFonts w:hint="eastAsia" w:ascii="仿宋_GB2312" w:hAnsi="仿宋_GB2312" w:eastAsia="仿宋_GB2312" w:cs="仿宋_GB2312"/>
          <w:color w:val="auto"/>
          <w:kern w:val="2"/>
          <w:sz w:val="32"/>
          <w:szCs w:val="32"/>
          <w:highlight w:val="none"/>
        </w:rPr>
        <w:t>配建总建筑面积不低于6500㎡的人才房并无偿移交政府</w:t>
      </w:r>
      <w:r>
        <w:rPr>
          <w:rFonts w:hint="eastAsia" w:ascii="仿宋_GB2312" w:hAnsi="仿宋_GB2312" w:eastAsia="仿宋_GB2312" w:cs="仿宋_GB2312"/>
          <w:color w:val="auto"/>
          <w:kern w:val="2"/>
          <w:sz w:val="32"/>
          <w:szCs w:val="32"/>
          <w:highlight w:val="none"/>
          <w:lang w:eastAsia="zh-CN"/>
        </w:rPr>
        <w:t>，配建人才房建筑面积计入该宗地</w:t>
      </w:r>
      <w:r>
        <w:rPr>
          <w:rFonts w:hint="eastAsia" w:ascii="仿宋_GB2312" w:hAnsi="仿宋_GB2312" w:eastAsia="仿宋_GB2312" w:cs="仿宋_GB2312"/>
          <w:color w:val="auto"/>
          <w:sz w:val="32"/>
          <w:szCs w:val="32"/>
          <w:highlight w:val="none"/>
        </w:rPr>
        <w:t>计算容积率建筑面积</w:t>
      </w:r>
      <w:r>
        <w:rPr>
          <w:rFonts w:hint="eastAsia" w:ascii="仿宋_GB2312" w:hAnsi="仿宋_GB2312" w:eastAsia="仿宋_GB2312" w:cs="仿宋_GB2312"/>
          <w:sz w:val="32"/>
          <w:szCs w:val="32"/>
          <w:lang w:val="en-US"/>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color w:val="auto"/>
          <w:kern w:val="2"/>
          <w:sz w:val="32"/>
          <w:szCs w:val="32"/>
          <w:highlight w:val="none"/>
          <w:lang w:eastAsia="zh-CN"/>
        </w:rPr>
        <w:t>竞得人</w:t>
      </w:r>
      <w:r>
        <w:rPr>
          <w:rFonts w:hint="eastAsia" w:ascii="仿宋_GB2312" w:hAnsi="仿宋_GB2312" w:eastAsia="仿宋_GB2312" w:cs="仿宋_GB2312"/>
          <w:color w:val="auto"/>
          <w:kern w:val="2"/>
          <w:sz w:val="32"/>
          <w:szCs w:val="32"/>
          <w:highlight w:val="none"/>
        </w:rPr>
        <w:t>须按规划要求及相关规范承担地块内密路网（包括雨水管、污水管、电力电缆沟和通讯电缆沟）的建设，建成后无偿移交政府相关部门，并将密路网开放给公众使用</w:t>
      </w:r>
      <w:r>
        <w:rPr>
          <w:rFonts w:hint="eastAsia" w:ascii="仿宋_GB2312" w:hAnsi="仿宋_GB2312" w:eastAsia="仿宋_GB2312" w:cs="仿宋_GB2312"/>
          <w:sz w:val="32"/>
          <w:szCs w:val="32"/>
          <w:lang w:val="en-US"/>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中华人民共和国境内外的法人和其他组织（除法律法规另有规定外）均可申请参加竞买，但竞买申请人需具备房地产开发资质，网上挂牌交易结束后提交《房地产企业开发资质证书》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且同一企业及控股公司只允许一家企业参与竞买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rPr>
        <w:t>申请企业可以单独申请，也可以联合申请：</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24000</w:t>
      </w:r>
      <w:r>
        <w:rPr>
          <w:rFonts w:hint="eastAsia" w:ascii="仿宋_GB2312" w:hAnsi="仿宋_GB2312" w:eastAsia="仿宋_GB2312" w:cs="仿宋_GB2312"/>
          <w:kern w:val="0"/>
          <w:sz w:val="32"/>
          <w:szCs w:val="32"/>
        </w:rPr>
        <w:t>万元人民币，如以外币缴交竞买保证金的，须缴交美元</w:t>
      </w:r>
      <w:r>
        <w:rPr>
          <w:rFonts w:hint="eastAsia" w:ascii="仿宋_GB2312" w:hAnsi="仿宋_GB2312" w:eastAsia="仿宋_GB2312" w:cs="仿宋_GB2312"/>
          <w:kern w:val="0"/>
          <w:sz w:val="32"/>
          <w:szCs w:val="32"/>
          <w:lang w:val="en-US" w:eastAsia="zh-CN"/>
        </w:rPr>
        <w:t>3711</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28857</w:t>
      </w:r>
      <w:r>
        <w:rPr>
          <w:rFonts w:hint="eastAsia" w:ascii="仿宋_GB2312" w:hAnsi="仿宋_GB2312" w:eastAsia="仿宋_GB2312" w:cs="仿宋_GB2312"/>
          <w:kern w:val="0"/>
          <w:sz w:val="32"/>
          <w:szCs w:val="32"/>
        </w:rPr>
        <w:t>万元。</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竞得人有下列行为之一的，取消竞得人资格，</w:t>
      </w:r>
      <w:r>
        <w:rPr>
          <w:rFonts w:hint="default" w:ascii="Times New Roman" w:hAnsi="Times New Roman" w:eastAsia="仿宋_GB2312" w:cs="Times New Roman"/>
          <w:sz w:val="32"/>
          <w:szCs w:val="32"/>
          <w:lang w:val="en-US" w:eastAsia="zh-CN"/>
        </w:rPr>
        <w:t xml:space="preserve"> 竞买保证金不予退还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并由有关部门依法处理，</w:t>
      </w:r>
      <w:r>
        <w:rPr>
          <w:rFonts w:hint="default" w:ascii="Times New Roman" w:hAnsi="Times New Roman" w:eastAsia="仿宋_GB2312" w:cs="Times New Roman"/>
          <w:sz w:val="32"/>
          <w:szCs w:val="32"/>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（一）不符合竞买资格条件的。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七、网上挂牌出让地块的起始价、增</w:t>
      </w:r>
      <w:r>
        <w:rPr>
          <w:rFonts w:hint="eastAsia" w:ascii="仿宋_GB2312" w:hAnsi="仿宋_GB2312" w:eastAsia="仿宋_GB2312" w:cs="仿宋_GB2312"/>
          <w:b/>
          <w:bCs/>
          <w:sz w:val="32"/>
          <w:szCs w:val="32"/>
          <w:lang w:val="en-US" w:eastAsia="zh-CN"/>
        </w:rPr>
        <w:t>价</w:t>
      </w:r>
      <w:r>
        <w:rPr>
          <w:rFonts w:hint="eastAsia" w:ascii="仿宋_GB2312" w:hAnsi="仿宋_GB2312" w:eastAsia="仿宋_GB2312" w:cs="仿宋_GB2312"/>
          <w:b/>
          <w:bCs/>
          <w:sz w:val="32"/>
          <w:szCs w:val="32"/>
        </w:rPr>
        <w:t>幅度</w:t>
      </w:r>
    </w:p>
    <w:p>
      <w:pPr>
        <w:tabs>
          <w:tab w:val="left" w:pos="3388"/>
        </w:tabs>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挂牌起始价为人民币</w:t>
      </w:r>
      <w:r>
        <w:rPr>
          <w:rFonts w:hint="eastAsia" w:ascii="仿宋_GB2312" w:hAnsi="仿宋_GB2312" w:eastAsia="仿宋_GB2312" w:cs="仿宋_GB2312"/>
          <w:sz w:val="32"/>
          <w:szCs w:val="32"/>
          <w:u w:val="single"/>
          <w:lang w:val="en-US" w:eastAsia="zh-CN"/>
        </w:rPr>
        <w:t>捌亿</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80000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hint="eastAsia"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日10时。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日9时。</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《规划设计条件</w:t>
      </w:r>
      <w:r>
        <w:rPr>
          <w:rFonts w:hint="eastAsia" w:ascii="仿宋_GB2312" w:hAnsi="仿宋_GB2312" w:eastAsia="仿宋_GB2312" w:cs="仿宋_GB2312"/>
          <w:sz w:val="32"/>
          <w:szCs w:val="32"/>
          <w:lang w:val="en-US" w:eastAsia="zh-CN"/>
        </w:rPr>
        <w:t>告知书</w:t>
      </w:r>
      <w:r>
        <w:rPr>
          <w:rFonts w:hint="eastAsia" w:ascii="仿宋_GB2312" w:hAnsi="仿宋_GB2312" w:eastAsia="仿宋_GB2312" w:cs="仿宋_GB2312"/>
          <w:sz w:val="32"/>
          <w:szCs w:val="32"/>
        </w:rPr>
        <w:t>》（案卷编号：</w:t>
      </w:r>
      <w:r>
        <w:rPr>
          <w:rFonts w:hint="eastAsia" w:ascii="仿宋_GB2312" w:hAnsi="仿宋_GB2312" w:eastAsia="仿宋_GB2312" w:cs="仿宋_GB2312"/>
          <w:sz w:val="32"/>
          <w:szCs w:val="32"/>
          <w:lang w:eastAsia="zh-CN"/>
        </w:rPr>
        <w:t>PB20210031</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rPr>
      </w:pPr>
      <w:bookmarkStart w:id="4" w:name="103"/>
      <w:bookmarkEnd w:id="4"/>
      <w:r>
        <w:rPr>
          <w:rFonts w:hint="default" w:ascii="Times New Roman" w:hAnsi="Times New Roman" w:eastAsia="仿宋_GB2312" w:cs="Times New Roman"/>
          <w:b/>
          <w:bCs/>
          <w:sz w:val="32"/>
          <w:szCs w:val="32"/>
        </w:rPr>
        <w:t xml:space="preserve"> </w:t>
      </w:r>
      <w:r>
        <w:rPr>
          <w:rFonts w:hint="eastAsia" w:ascii="仿宋_GB2312" w:hAnsi="仿宋_GB2312" w:eastAsia="仿宋_GB2312" w:cs="仿宋_GB2312"/>
          <w:b/>
          <w:bCs/>
          <w:sz w:val="32"/>
          <w:szCs w:val="32"/>
        </w:rPr>
        <w:t>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贰亿肆仟</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24000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叁仟柒佰壹拾壹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USD</w:t>
      </w:r>
      <w:r>
        <w:rPr>
          <w:rFonts w:hint="eastAsia" w:ascii="仿宋_GB2312" w:hAnsi="仿宋_GB2312" w:eastAsia="仿宋_GB2312" w:cs="仿宋_GB2312"/>
          <w:sz w:val="32"/>
          <w:szCs w:val="32"/>
          <w:u w:val="single"/>
          <w:lang w:val="en-US" w:eastAsia="zh-CN"/>
        </w:rPr>
        <w:t>3711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或港</w:t>
      </w:r>
      <w:r>
        <w:rPr>
          <w:rFonts w:hint="eastAsia" w:ascii="仿宋_GB2312" w:hAnsi="仿宋_GB2312" w:eastAsia="仿宋_GB2312" w:cs="仿宋_GB2312"/>
          <w:sz w:val="32"/>
          <w:szCs w:val="32"/>
          <w:lang w:val="en-US" w:eastAsia="zh-CN"/>
        </w:rPr>
        <w:t>币</w:t>
      </w:r>
      <w:r>
        <w:rPr>
          <w:rFonts w:hint="eastAsia" w:ascii="仿宋_GB2312" w:hAnsi="仿宋_GB2312" w:eastAsia="仿宋_GB2312" w:cs="仿宋_GB2312"/>
          <w:sz w:val="32"/>
          <w:szCs w:val="32"/>
          <w:u w:val="single"/>
          <w:lang w:val="en-US" w:eastAsia="zh-CN"/>
        </w:rPr>
        <w:t>贰亿捌仟捌佰伍拾柒</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HKD</w:t>
      </w:r>
      <w:r>
        <w:rPr>
          <w:rFonts w:hint="eastAsia" w:ascii="仿宋_GB2312" w:hAnsi="仿宋_GB2312" w:eastAsia="仿宋_GB2312" w:cs="仿宋_GB2312"/>
          <w:sz w:val="32"/>
          <w:szCs w:val="32"/>
          <w:u w:val="single"/>
          <w:lang w:val="en-US" w:eastAsia="zh-CN"/>
        </w:rPr>
        <w:t>28857</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default" w:ascii="Times New Roman" w:hAnsi="Times New Roman" w:cs="Times New Roman"/>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仿宋_GB2312" w:hAnsi="仿宋_GB2312" w:eastAsia="仿宋_GB2312" w:cs="仿宋_GB2312"/>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hint="eastAsia"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网上报价及“限地价、</w:t>
      </w:r>
      <w:r>
        <w:rPr>
          <w:rFonts w:hint="eastAsia" w:ascii="仿宋_GB2312" w:hAnsi="仿宋_GB2312" w:eastAsia="仿宋_GB2312" w:cs="仿宋_GB2312"/>
          <w:b/>
          <w:bCs/>
          <w:sz w:val="32"/>
          <w:szCs w:val="32"/>
          <w:lang w:val="en-US" w:eastAsia="zh-CN"/>
        </w:rPr>
        <w:t>摇号</w:t>
      </w:r>
      <w:r>
        <w:rPr>
          <w:rFonts w:hint="eastAsia" w:ascii="仿宋_GB2312" w:hAnsi="仿宋_GB2312" w:eastAsia="仿宋_GB2312" w:cs="仿宋_GB2312"/>
          <w:b/>
          <w:bCs/>
          <w:sz w:val="32"/>
          <w:szCs w:val="32"/>
        </w:rPr>
        <w:t>”规则</w:t>
      </w:r>
    </w:p>
    <w:p>
      <w:pPr>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（一）本宗建设用地使用权网上挂牌采取“限地价、</w:t>
      </w:r>
      <w:r>
        <w:rPr>
          <w:rFonts w:hint="eastAsia" w:ascii="仿宋_GB2312" w:hAnsi="仿宋_GB2312" w:eastAsia="仿宋_GB2312" w:cs="仿宋_GB2312"/>
          <w:sz w:val="32"/>
          <w:szCs w:val="32"/>
          <w:lang w:val="en-US" w:eastAsia="zh-CN"/>
        </w:rPr>
        <w:t>摇号</w:t>
      </w:r>
      <w:r>
        <w:rPr>
          <w:rFonts w:hint="eastAsia" w:ascii="仿宋_GB2312" w:hAnsi="仿宋_GB2312" w:eastAsia="仿宋_GB2312" w:cs="仿宋_GB2312"/>
          <w:sz w:val="32"/>
          <w:szCs w:val="32"/>
        </w:rPr>
        <w:t>”出让方式，竞买人以增价方式通过网上挂牌交易系统进行报价，当报价达到最高限价时，交易系统转入</w:t>
      </w:r>
      <w:r>
        <w:rPr>
          <w:rFonts w:hint="eastAsia" w:ascii="仿宋_GB2312" w:hAnsi="仿宋_GB2312" w:eastAsia="仿宋_GB2312" w:cs="仿宋_GB2312"/>
          <w:sz w:val="32"/>
          <w:szCs w:val="32"/>
          <w:lang w:val="en-US" w:eastAsia="zh-CN"/>
        </w:rPr>
        <w:t>采取摇号方式确定</w:t>
      </w:r>
      <w:r>
        <w:rPr>
          <w:rFonts w:hint="eastAsia" w:ascii="仿宋_GB2312" w:hAnsi="仿宋_GB2312" w:eastAsia="仿宋_GB2312" w:cs="仿宋_GB2312"/>
          <w:sz w:val="32"/>
          <w:szCs w:val="32"/>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（二）每次</w:t>
      </w:r>
      <w:r>
        <w:rPr>
          <w:rFonts w:hint="eastAsia" w:ascii="仿宋_GB2312" w:hAnsi="仿宋_GB2312" w:eastAsia="仿宋_GB2312" w:cs="仿宋_GB2312"/>
          <w:sz w:val="32"/>
          <w:szCs w:val="32"/>
          <w:lang w:val="en-US" w:eastAsia="zh-CN"/>
        </w:rPr>
        <w:t>增价</w:t>
      </w:r>
      <w:r>
        <w:rPr>
          <w:rFonts w:hint="eastAsia" w:ascii="仿宋_GB2312" w:hAnsi="仿宋_GB2312" w:eastAsia="仿宋_GB2312" w:cs="仿宋_GB2312"/>
          <w:sz w:val="32"/>
          <w:szCs w:val="32"/>
        </w:rPr>
        <w:t>幅度</w:t>
      </w:r>
      <w:r>
        <w:rPr>
          <w:rFonts w:hint="eastAsia" w:ascii="仿宋_GB2312" w:hAnsi="仿宋_GB2312" w:eastAsia="仿宋_GB2312" w:cs="仿宋_GB2312"/>
          <w:sz w:val="32"/>
          <w:szCs w:val="32"/>
          <w:lang w:val="en-US" w:eastAsia="zh-CN"/>
        </w:rPr>
        <w:t>应是本须知规定的增价幅度的整数倍</w:t>
      </w:r>
      <w:r>
        <w:rPr>
          <w:rFonts w:hint="eastAsia" w:ascii="仿宋_GB2312" w:hAnsi="仿宋_GB2312" w:eastAsia="仿宋_GB2312" w:cs="仿宋_GB2312"/>
          <w:sz w:val="32"/>
          <w:szCs w:val="32"/>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（五）竞买人应当谨慎报价，报价一经提交并经网上挂牌</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系统确认为有效报价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报价不能高于最高限价</w:t>
      </w:r>
      <w:r>
        <w:rPr>
          <w:rFonts w:hint="eastAsia" w:ascii="仿宋_GB2312" w:hAnsi="仿宋_GB2312" w:eastAsia="仿宋_GB2312" w:cs="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不同竞买人均可报最高限价</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进入限时竞价，限时竞价中</w:t>
      </w:r>
      <w:r>
        <w:rPr>
          <w:rFonts w:hint="eastAsia" w:ascii="仿宋_GB2312" w:hAnsi="仿宋_GB2312" w:eastAsia="仿宋_GB2312" w:cs="仿宋_GB2312"/>
          <w:sz w:val="32"/>
          <w:szCs w:val="32"/>
        </w:rPr>
        <w:t>最高报价达到最高限价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只有</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竞买人报最高限价，该报价者为竞得人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购地资金来源承诺书。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竞得人应当在网上挂牌交易结果公布之日起2个工作日内向委托方提交房地产开发资质材料、购地资金来源承诺书有关纸质材料，由委托方进行审查</w:t>
      </w:r>
      <w:bookmarkStart w:id="8" w:name="_GoBack"/>
      <w:bookmarkEnd w:id="8"/>
      <w:r>
        <w:rPr>
          <w:rFonts w:hint="eastAsia" w:ascii="仿宋_GB2312" w:hAnsi="仿宋_GB2312" w:eastAsia="仿宋_GB2312" w:cs="仿宋_GB2312"/>
          <w:color w:val="auto"/>
          <w:kern w:val="2"/>
          <w:sz w:val="32"/>
          <w:szCs w:val="32"/>
          <w:highlight w:val="none"/>
          <w:lang w:val="en-US" w:eastAsia="zh-CN" w:bidi="ar-SA"/>
        </w:rPr>
        <w:t>。</w:t>
      </w:r>
    </w:p>
    <w:p>
      <w:pPr>
        <w:tabs>
          <w:tab w:val="left" w:pos="3388"/>
        </w:tabs>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上述文件中，申请书必须用中文书写，其他文件可以使用</w:t>
      </w:r>
      <w:r>
        <w:rPr>
          <w:rFonts w:hint="eastAsia" w:ascii="仿宋_GB2312" w:hAnsi="仿宋_GB2312" w:eastAsia="仿宋_GB2312" w:cs="仿宋_GB2312"/>
          <w:b/>
          <w:bCs/>
          <w:color w:val="auto"/>
          <w:sz w:val="32"/>
          <w:szCs w:val="32"/>
        </w:rPr>
        <w:t>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en-US" w:eastAsia="zh-CN"/>
        </w:rPr>
        <w:t>本次国有建设用地使用权网上挂牌竞价达到</w:t>
      </w:r>
      <w:r>
        <w:rPr>
          <w:rFonts w:hint="eastAsia" w:ascii="仿宋_GB2312" w:hAnsi="仿宋_GB2312" w:eastAsia="仿宋_GB2312" w:cs="仿宋_GB2312"/>
          <w:b w:val="0"/>
          <w:bCs w:val="0"/>
          <w:kern w:val="2"/>
          <w:sz w:val="32"/>
          <w:szCs w:val="32"/>
          <w:highlight w:val="none"/>
          <w:lang w:val="en-US" w:eastAsia="zh-CN" w:bidi="ar-SA"/>
        </w:rPr>
        <w:t>92000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转为采</w:t>
      </w:r>
      <w:r>
        <w:rPr>
          <w:rFonts w:hint="eastAsia" w:ascii="仿宋_GB2312" w:hAnsi="仿宋_GB2312" w:eastAsia="仿宋_GB2312" w:cs="仿宋_GB2312"/>
          <w:sz w:val="32"/>
          <w:szCs w:val="32"/>
          <w:highlight w:val="none"/>
          <w:lang w:val="en-US" w:eastAsia="zh-CN"/>
        </w:rPr>
        <w:t>取</w:t>
      </w:r>
      <w:r>
        <w:rPr>
          <w:rFonts w:hint="eastAsia" w:ascii="仿宋_GB2312" w:hAnsi="仿宋_GB2312" w:eastAsia="仿宋_GB2312" w:cs="仿宋_GB2312"/>
          <w:sz w:val="32"/>
          <w:szCs w:val="32"/>
          <w:highlight w:val="none"/>
        </w:rPr>
        <w:t>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协议；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通过资格审查的，未竞得人缴纳的竞买保证金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225A"/>
    <w:rsid w:val="00E4457D"/>
    <w:rsid w:val="00E60097"/>
    <w:rsid w:val="00E80589"/>
    <w:rsid w:val="00E907B3"/>
    <w:rsid w:val="00EB3EE4"/>
    <w:rsid w:val="00EE1934"/>
    <w:rsid w:val="00EE690A"/>
    <w:rsid w:val="00EF2D3D"/>
    <w:rsid w:val="00F034B7"/>
    <w:rsid w:val="00F14EC5"/>
    <w:rsid w:val="00F1789A"/>
    <w:rsid w:val="00F3154E"/>
    <w:rsid w:val="00F425AB"/>
    <w:rsid w:val="00FA4B4C"/>
    <w:rsid w:val="011E46EB"/>
    <w:rsid w:val="031A11BD"/>
    <w:rsid w:val="032C70CD"/>
    <w:rsid w:val="042C6BAB"/>
    <w:rsid w:val="0449611D"/>
    <w:rsid w:val="04F7599A"/>
    <w:rsid w:val="051C3D7C"/>
    <w:rsid w:val="054F511E"/>
    <w:rsid w:val="05616BEE"/>
    <w:rsid w:val="05AA6043"/>
    <w:rsid w:val="05E93AC1"/>
    <w:rsid w:val="065D58C0"/>
    <w:rsid w:val="06842DF1"/>
    <w:rsid w:val="06E84056"/>
    <w:rsid w:val="06FE3B96"/>
    <w:rsid w:val="071F73B3"/>
    <w:rsid w:val="077D5D24"/>
    <w:rsid w:val="07D27002"/>
    <w:rsid w:val="07F629A0"/>
    <w:rsid w:val="091E26EA"/>
    <w:rsid w:val="09317644"/>
    <w:rsid w:val="09AC5D31"/>
    <w:rsid w:val="0A812477"/>
    <w:rsid w:val="0C40433F"/>
    <w:rsid w:val="0C9C34E4"/>
    <w:rsid w:val="0D5D3DB8"/>
    <w:rsid w:val="0D8373B1"/>
    <w:rsid w:val="0DCB3B54"/>
    <w:rsid w:val="0DFB16CA"/>
    <w:rsid w:val="0EE93733"/>
    <w:rsid w:val="0F496867"/>
    <w:rsid w:val="0FB217AF"/>
    <w:rsid w:val="0FB2799E"/>
    <w:rsid w:val="10152918"/>
    <w:rsid w:val="105A2768"/>
    <w:rsid w:val="10A1573B"/>
    <w:rsid w:val="10B43BC1"/>
    <w:rsid w:val="111E117E"/>
    <w:rsid w:val="114B791E"/>
    <w:rsid w:val="11505300"/>
    <w:rsid w:val="11A17A14"/>
    <w:rsid w:val="12295A9F"/>
    <w:rsid w:val="13D2060A"/>
    <w:rsid w:val="15BB632B"/>
    <w:rsid w:val="15C4392F"/>
    <w:rsid w:val="15D340EA"/>
    <w:rsid w:val="16615977"/>
    <w:rsid w:val="168C318D"/>
    <w:rsid w:val="16AE6DA7"/>
    <w:rsid w:val="180F758D"/>
    <w:rsid w:val="1960257D"/>
    <w:rsid w:val="19D941D6"/>
    <w:rsid w:val="1B3C25B6"/>
    <w:rsid w:val="1CB6407B"/>
    <w:rsid w:val="1DE56E00"/>
    <w:rsid w:val="1ED73189"/>
    <w:rsid w:val="20855E22"/>
    <w:rsid w:val="21587C67"/>
    <w:rsid w:val="21BA0D9F"/>
    <w:rsid w:val="23141DA3"/>
    <w:rsid w:val="23251288"/>
    <w:rsid w:val="24B951B7"/>
    <w:rsid w:val="25D63F7C"/>
    <w:rsid w:val="26945C50"/>
    <w:rsid w:val="26C33689"/>
    <w:rsid w:val="26FE6F45"/>
    <w:rsid w:val="282C1E6E"/>
    <w:rsid w:val="28D2352A"/>
    <w:rsid w:val="28ED736B"/>
    <w:rsid w:val="29220F8B"/>
    <w:rsid w:val="29DE5841"/>
    <w:rsid w:val="2A9618EC"/>
    <w:rsid w:val="2AA45603"/>
    <w:rsid w:val="2B1A2077"/>
    <w:rsid w:val="2BDF0C4A"/>
    <w:rsid w:val="2CA246FC"/>
    <w:rsid w:val="2CD752D7"/>
    <w:rsid w:val="2D027EED"/>
    <w:rsid w:val="2DEB4267"/>
    <w:rsid w:val="2E9977AD"/>
    <w:rsid w:val="2EE66C86"/>
    <w:rsid w:val="2F6F1D70"/>
    <w:rsid w:val="2F944F64"/>
    <w:rsid w:val="2FA2409E"/>
    <w:rsid w:val="31880862"/>
    <w:rsid w:val="31B60A9D"/>
    <w:rsid w:val="31C9110F"/>
    <w:rsid w:val="32B035CA"/>
    <w:rsid w:val="33902823"/>
    <w:rsid w:val="33A33367"/>
    <w:rsid w:val="33F408F8"/>
    <w:rsid w:val="33FB76E4"/>
    <w:rsid w:val="34C41D04"/>
    <w:rsid w:val="34CD617E"/>
    <w:rsid w:val="354A1F97"/>
    <w:rsid w:val="36365EE8"/>
    <w:rsid w:val="36C927EF"/>
    <w:rsid w:val="36E70546"/>
    <w:rsid w:val="377C0885"/>
    <w:rsid w:val="378C6660"/>
    <w:rsid w:val="38DE5E51"/>
    <w:rsid w:val="390E539D"/>
    <w:rsid w:val="3A5B6DC5"/>
    <w:rsid w:val="3C01795F"/>
    <w:rsid w:val="3C4A4143"/>
    <w:rsid w:val="3C5E598F"/>
    <w:rsid w:val="3C8F0E4F"/>
    <w:rsid w:val="3CAD2EC5"/>
    <w:rsid w:val="3CB81CC8"/>
    <w:rsid w:val="3D322E34"/>
    <w:rsid w:val="3D5E1016"/>
    <w:rsid w:val="3F06347E"/>
    <w:rsid w:val="3FB91BA4"/>
    <w:rsid w:val="3FC22752"/>
    <w:rsid w:val="40383B92"/>
    <w:rsid w:val="418879B1"/>
    <w:rsid w:val="41954468"/>
    <w:rsid w:val="41C140D6"/>
    <w:rsid w:val="421630A4"/>
    <w:rsid w:val="43230A4C"/>
    <w:rsid w:val="432B1A76"/>
    <w:rsid w:val="440C4340"/>
    <w:rsid w:val="44811DC9"/>
    <w:rsid w:val="450E3C66"/>
    <w:rsid w:val="454309A1"/>
    <w:rsid w:val="456D71FA"/>
    <w:rsid w:val="45781C16"/>
    <w:rsid w:val="45C47203"/>
    <w:rsid w:val="45E829E7"/>
    <w:rsid w:val="460C4FB7"/>
    <w:rsid w:val="465E4F22"/>
    <w:rsid w:val="467262F8"/>
    <w:rsid w:val="46781BA6"/>
    <w:rsid w:val="46F579AB"/>
    <w:rsid w:val="472949DE"/>
    <w:rsid w:val="48566E44"/>
    <w:rsid w:val="48593E6F"/>
    <w:rsid w:val="490D59C4"/>
    <w:rsid w:val="498457D2"/>
    <w:rsid w:val="4AFF2E69"/>
    <w:rsid w:val="4BA610FC"/>
    <w:rsid w:val="4C711E51"/>
    <w:rsid w:val="4C7F3033"/>
    <w:rsid w:val="4C8D0F8A"/>
    <w:rsid w:val="4CF51C39"/>
    <w:rsid w:val="4CFA343D"/>
    <w:rsid w:val="4E994D7F"/>
    <w:rsid w:val="4ED2701A"/>
    <w:rsid w:val="4F1E4BBE"/>
    <w:rsid w:val="4F3537ED"/>
    <w:rsid w:val="4F630A20"/>
    <w:rsid w:val="4F8F3889"/>
    <w:rsid w:val="4FE87759"/>
    <w:rsid w:val="4FFE1B2F"/>
    <w:rsid w:val="51467837"/>
    <w:rsid w:val="51F9626A"/>
    <w:rsid w:val="52AA5DFE"/>
    <w:rsid w:val="52F02FBC"/>
    <w:rsid w:val="533F6C66"/>
    <w:rsid w:val="544574F3"/>
    <w:rsid w:val="544F17E9"/>
    <w:rsid w:val="546D5003"/>
    <w:rsid w:val="54943EAC"/>
    <w:rsid w:val="54C11818"/>
    <w:rsid w:val="551C4139"/>
    <w:rsid w:val="5548142E"/>
    <w:rsid w:val="58AC5C79"/>
    <w:rsid w:val="58FE24B1"/>
    <w:rsid w:val="59693A9B"/>
    <w:rsid w:val="5A154FE3"/>
    <w:rsid w:val="5AA15DC8"/>
    <w:rsid w:val="5ADF1C14"/>
    <w:rsid w:val="5AEE4F52"/>
    <w:rsid w:val="5B1D2CCC"/>
    <w:rsid w:val="5B52670E"/>
    <w:rsid w:val="5B625B54"/>
    <w:rsid w:val="5B640509"/>
    <w:rsid w:val="5C2255AA"/>
    <w:rsid w:val="5D006096"/>
    <w:rsid w:val="5D731ABE"/>
    <w:rsid w:val="5DB15592"/>
    <w:rsid w:val="5DDE651C"/>
    <w:rsid w:val="5DFB50B1"/>
    <w:rsid w:val="610A5EBF"/>
    <w:rsid w:val="6178185B"/>
    <w:rsid w:val="617F00E3"/>
    <w:rsid w:val="619F7108"/>
    <w:rsid w:val="626D3847"/>
    <w:rsid w:val="62D41879"/>
    <w:rsid w:val="63A45024"/>
    <w:rsid w:val="63B910F8"/>
    <w:rsid w:val="648A18F5"/>
    <w:rsid w:val="64C30585"/>
    <w:rsid w:val="651C53A6"/>
    <w:rsid w:val="659D6FA9"/>
    <w:rsid w:val="65DC5F2F"/>
    <w:rsid w:val="65F2007E"/>
    <w:rsid w:val="674136F1"/>
    <w:rsid w:val="68085778"/>
    <w:rsid w:val="688B43B5"/>
    <w:rsid w:val="68D3265E"/>
    <w:rsid w:val="69B07B1E"/>
    <w:rsid w:val="69E22ED5"/>
    <w:rsid w:val="6A211169"/>
    <w:rsid w:val="6AA821A5"/>
    <w:rsid w:val="6B423965"/>
    <w:rsid w:val="6B8A6BF3"/>
    <w:rsid w:val="6B8E4701"/>
    <w:rsid w:val="6BD3613E"/>
    <w:rsid w:val="6BFA1460"/>
    <w:rsid w:val="6C013F77"/>
    <w:rsid w:val="6C181FB4"/>
    <w:rsid w:val="6C1D0861"/>
    <w:rsid w:val="6C464624"/>
    <w:rsid w:val="6C530112"/>
    <w:rsid w:val="6C611252"/>
    <w:rsid w:val="6CCC1A8E"/>
    <w:rsid w:val="6D46310F"/>
    <w:rsid w:val="6FCE2720"/>
    <w:rsid w:val="72C52A77"/>
    <w:rsid w:val="73362333"/>
    <w:rsid w:val="739402F8"/>
    <w:rsid w:val="74CC0B4E"/>
    <w:rsid w:val="755C76C8"/>
    <w:rsid w:val="76382CBE"/>
    <w:rsid w:val="763E46A7"/>
    <w:rsid w:val="76B47A3E"/>
    <w:rsid w:val="77A91566"/>
    <w:rsid w:val="77BD3DA9"/>
    <w:rsid w:val="77E167B8"/>
    <w:rsid w:val="78591F3E"/>
    <w:rsid w:val="78CA1EAE"/>
    <w:rsid w:val="79A235FA"/>
    <w:rsid w:val="7B3065F7"/>
    <w:rsid w:val="7B8363CD"/>
    <w:rsid w:val="7C3F4445"/>
    <w:rsid w:val="7D365439"/>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33</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2021-09-29T03:19:00Z</cp:lastPrinted>
  <dcterms:modified xsi:type="dcterms:W3CDTF">2021-09-29T03:45:38Z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8C7BE9C4235D4163AE5D6C5E51164455</vt:lpwstr>
  </property>
</Properties>
</file>