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惠州市国有建设用地使用权</w:t>
      </w:r>
    </w:p>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网上挂牌</w:t>
      </w:r>
      <w:r>
        <w:rPr>
          <w:rFonts w:hint="eastAsia" w:ascii="方正小标宋简体" w:hAnsi="方正小标宋简体" w:eastAsia="方正小标宋简体" w:cs="方正小标宋简体"/>
          <w:b w:val="0"/>
          <w:bCs w:val="0"/>
          <w:sz w:val="44"/>
          <w:szCs w:val="44"/>
          <w:highlight w:val="none"/>
        </w:rPr>
        <w:t>出让</w:t>
      </w:r>
      <w:r>
        <w:rPr>
          <w:rFonts w:hint="eastAsia" w:ascii="方正小标宋简体" w:hAnsi="方正小标宋简体" w:eastAsia="方正小标宋简体" w:cs="方正小标宋简体"/>
          <w:b w:val="0"/>
          <w:bCs w:val="0"/>
          <w:spacing w:val="3"/>
          <w:sz w:val="44"/>
          <w:szCs w:val="44"/>
          <w:highlight w:val="none"/>
          <w:lang w:val="en-US" w:eastAsia="zh-CN"/>
        </w:rPr>
        <w:t>须知</w:t>
      </w:r>
    </w:p>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highlight w:val="none"/>
        </w:rPr>
        <w:t>号</w:t>
      </w:r>
    </w:p>
    <w:p>
      <w:pPr>
        <w:rPr>
          <w:rFonts w:hint="eastAsia" w:ascii="仿宋_GB2312" w:hAnsi="仿宋_GB2312" w:eastAsia="仿宋_GB2312" w:cs="仿宋_GB2312"/>
          <w:sz w:val="32"/>
          <w:szCs w:val="32"/>
          <w:highlight w:val="none"/>
        </w:rPr>
      </w:pP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二、本次国有建设用地使用权网上挂牌出让遵循公开、公平、公正和诚实信用原则。</w:t>
      </w:r>
      <w:bookmarkStart w:id="2" w:name="101"/>
      <w:bookmarkEnd w:id="2"/>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三、出让地块的基本情况及规划指标要求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（一）挂牌地块编号：GP2021-</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（二）地块位置：惠州市惠城区鹿江沥南岸</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地块;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（三）用地编号：</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（四）地块范围：平面界址点以《建设用地红线图》为准，宗地竖向界限以《规划设计条件告知书》（案卷编号：PB20210078）规定为准；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（五）宗地使用权面积为：32418.39平方米；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（六）计算指标用地面积为：37171.61平方米；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（七）计容积率建筑面积为：≤107799㎡（其中商业建筑面积的比例≤5%，配套设施建筑面积＞630㎡）；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（八）容积率为：≤2.9；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（九）建筑密度为：≤22%；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（十）绿地率为：≥35%；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（十一）机动车停车位配建标准：每100㎡计容积率建筑面积≥1个；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（十二）土地用途为：城镇住宅及商服用地；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（十三）土地使用权出让年期为：城镇住宅用地70年、商服用地40年；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（十四）适建性：住宅、商业及配套设施；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（十五）动工及竣工时间：地块动工时间为地块交付之日起一年内，竣工时间为动工之日起三年内（因不可抗拒因素除外）；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0"/>
          <w:szCs w:val="30"/>
          <w:highlight w:val="none"/>
        </w:rPr>
      </w:pPr>
      <w:r>
        <w:rPr>
          <w:rFonts w:hint="eastAsia" w:ascii="仿宋_GB2312" w:hAnsi="仿宋_GB2312" w:eastAsia="仿宋_GB2312" w:cs="仿宋_GB2312"/>
          <w:sz w:val="32"/>
          <w:szCs w:val="32"/>
          <w:highlight w:val="none"/>
        </w:rPr>
        <w:t>（十六）竞得人在缴清地价款后一个月内办理交地手续，凭《交地确认书》、《出让合同》（正本）和地价款交款凭证等申请办理土地初始登记，领取《不动产权证书》。</w:t>
      </w:r>
      <w:r>
        <w:rPr>
          <w:rFonts w:hint="default" w:ascii="Times New Roman" w:hAnsi="Times New Roman" w:eastAsia="仿宋_GB2312" w:cs="Times New Roman"/>
          <w:sz w:val="32"/>
          <w:szCs w:val="32"/>
          <w:highlight w:val="none"/>
        </w:rPr>
        <w:t xml:space="preserve"> </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（一）开发投资总额不少于96800万元（含地价,不含地价溢价部分）。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（三）该地属政府储备地，没有法律经济纠纷，具备动工开发所必须的基本条件。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color w:val="auto"/>
          <w:sz w:val="32"/>
          <w:szCs w:val="32"/>
          <w:highlight w:val="none"/>
        </w:rPr>
        <w:t>竞得人须按《规划设计条件告知书》（案卷编号：PB20210078）要求配建相关配套设施</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得人须配建总建筑面积不低于5390㎡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color w:val="auto"/>
          <w:sz w:val="32"/>
          <w:szCs w:val="32"/>
          <w:highlight w:val="none"/>
          <w:lang w:eastAsia="zh-CN"/>
        </w:rPr>
        <w:t>LJL-47-27</w:t>
      </w:r>
      <w:r>
        <w:rPr>
          <w:rFonts w:hint="eastAsia" w:ascii="仿宋_GB2312" w:hAnsi="仿宋_GB2312" w:eastAsia="仿宋_GB2312" w:cs="仿宋_GB2312"/>
          <w:color w:val="auto"/>
          <w:sz w:val="32"/>
          <w:szCs w:val="32"/>
          <w:highlight w:val="none"/>
        </w:rPr>
        <w:t>地块幼儿园用地同步划拨给惠城区教育局</w:t>
      </w:r>
      <w:r>
        <w:rPr>
          <w:rFonts w:hint="eastAsia" w:ascii="仿宋_GB2312" w:hAnsi="仿宋_GB2312" w:eastAsia="仿宋_GB2312" w:cs="仿宋_GB2312"/>
          <w:sz w:val="32"/>
          <w:szCs w:val="32"/>
          <w:highlight w:val="none"/>
        </w:rPr>
        <w:t>，由取得</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地块的土地使用权者按照规划要求和惠城区教育局提出的建设标准完成配套幼儿园建设并无偿移交惠城区教育局。</w:t>
      </w:r>
      <w:r>
        <w:rPr>
          <w:rFonts w:hint="eastAsia" w:ascii="仿宋_GB2312" w:hAnsi="仿宋_GB2312" w:eastAsia="仿宋_GB2312" w:cs="仿宋_GB2312"/>
          <w:sz w:val="32"/>
          <w:szCs w:val="32"/>
          <w:highlight w:val="none"/>
          <w:lang w:eastAsia="zh-CN"/>
        </w:rPr>
        <w:t>LJL-47-27</w:t>
      </w:r>
      <w:r>
        <w:rPr>
          <w:rFonts w:hint="eastAsia" w:ascii="仿宋_GB2312" w:hAnsi="仿宋_GB2312" w:eastAsia="仿宋_GB2312" w:cs="仿宋_GB2312"/>
          <w:sz w:val="32"/>
          <w:szCs w:val="32"/>
          <w:highlight w:val="none"/>
        </w:rPr>
        <w:t>地块和</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地块应同步规划设计、同步建设、同步验收交付使用，如</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分期建设，该幼儿园应纳入首期工程。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（八）取得</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地块的土地使用权者须按规划要求及相关规范承担规划二路和规划三路（包括雨水管、污水管、电力电缆沟和通信管群）的建设，建成后无偿移交政府相关部门。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w:t>
      </w:r>
      <w:r>
        <w:rPr>
          <w:rFonts w:hint="eastAsia" w:ascii="仿宋_GB2312" w:hAnsi="仿宋_GB2312" w:eastAsia="仿宋_GB2312" w:cs="仿宋_GB2312"/>
          <w:sz w:val="32"/>
          <w:szCs w:val="32"/>
          <w:highlight w:val="none"/>
          <w:lang w:eastAsia="zh-CN"/>
        </w:rPr>
        <w:t>LJL-47-27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地块涉及的现状10KV架空线须由取得</w:t>
      </w:r>
      <w:r>
        <w:rPr>
          <w:rFonts w:hint="eastAsia" w:ascii="仿宋_GB2312" w:hAnsi="仿宋_GB2312" w:eastAsia="仿宋_GB2312" w:cs="仿宋_GB2312"/>
          <w:sz w:val="32"/>
          <w:szCs w:val="32"/>
          <w:highlight w:val="none"/>
          <w:lang w:eastAsia="zh-CN"/>
        </w:rPr>
        <w:t>LJL-47-28</w:t>
      </w:r>
      <w:r>
        <w:rPr>
          <w:rFonts w:hint="eastAsia" w:ascii="仿宋_GB2312" w:hAnsi="仿宋_GB2312" w:eastAsia="仿宋_GB2312" w:cs="仿宋_GB2312"/>
          <w:sz w:val="32"/>
          <w:szCs w:val="32"/>
          <w:highlight w:val="none"/>
        </w:rPr>
        <w:t>地块土地使用者按供电部门要求负责迁移。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（十）竞得人在用地红线内开发建设必须符合城市规划要求，必须按《规划设计条件告知书》（案卷编号：PB20210078）规划控制指标要求及有关规定进行规划设计</w:t>
      </w:r>
      <w:r>
        <w:rPr>
          <w:rFonts w:hint="eastAsia" w:ascii="仿宋_GB2312" w:hAnsi="仿宋_GB2312" w:eastAsia="仿宋_GB2312" w:cs="仿宋_GB2312"/>
          <w:sz w:val="32"/>
          <w:szCs w:val="32"/>
          <w:highlight w:val="none"/>
          <w:lang w:val="en-US"/>
        </w:rPr>
        <w:t>。</w:t>
      </w:r>
    </w:p>
    <w:p>
      <w:pPr>
        <w:tabs>
          <w:tab w:val="left" w:pos="3388"/>
        </w:tabs>
        <w:spacing w:line="56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五、竞买资格及要求</w:t>
      </w:r>
    </w:p>
    <w:p>
      <w:pPr>
        <w:keepNext w:val="0"/>
        <w:keepLines w:val="0"/>
        <w:pageBreakBefore w:val="0"/>
        <w:kinsoku/>
        <w:wordWrap/>
        <w:overflowPunct/>
        <w:topLinePunct w:val="0"/>
        <w:autoSpaceDE/>
        <w:autoSpaceDN/>
        <w:bidi w:val="0"/>
        <w:spacing w:line="640" w:lineRule="atLeas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p>
    <w:p>
      <w:pP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按时足额交纳竞买保证金。该宗地竞买保证金可用人民币或外币（暂限于美元、港币）支付。以人民币缴交竞买保证金的，须缴交人民币19320万元人民币，如以外币缴交竞买保证金的，须缴交美元3035万元或港币23670万元。</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 xml:space="preserve">   （二）预先办理数字证书。本次国有建设用地使用权网</w:t>
      </w:r>
      <w:r>
        <w:rPr>
          <w:rFonts w:hint="eastAsia" w:ascii="仿宋_GB2312" w:hAnsi="仿宋_GB2312" w:eastAsia="仿宋_GB2312" w:cs="仿宋_GB2312"/>
          <w:sz w:val="32"/>
          <w:szCs w:val="32"/>
          <w:highlight w:val="none"/>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8、存在其它被禁止竞买土地行为的。</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六、违约及处理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竞得人有下列行为之一的，取消竞得人资格，</w:t>
      </w:r>
      <w:r>
        <w:rPr>
          <w:rFonts w:hint="default" w:ascii="Times New Roman" w:hAnsi="Times New Roman" w:eastAsia="仿宋_GB2312" w:cs="Times New Roman"/>
          <w:sz w:val="32"/>
          <w:szCs w:val="32"/>
          <w:highlight w:val="none"/>
          <w:lang w:val="en-US" w:eastAsia="zh-CN"/>
        </w:rPr>
        <w:t>竞买保证金不予退还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并由有关部门依法处理，</w:t>
      </w:r>
      <w:r>
        <w:rPr>
          <w:rFonts w:hint="default" w:ascii="Times New Roman" w:hAnsi="Times New Roman" w:eastAsia="仿宋_GB2312" w:cs="Times New Roman"/>
          <w:sz w:val="32"/>
          <w:szCs w:val="32"/>
          <w:highlight w:val="none"/>
        </w:rPr>
        <w:t>造成损失的，竞得人还应依法承担赔偿责任：</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（一）不符合竞买资格条件的。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（二）采取行贿、恶意串通等非法手段竞得的。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（三）竞得人以其他非法手段竞得的。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（四）竞得人逾期或拒绝签订《成交确认书》的。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（五）竞得人逾期或拒绝签订《出让合同》的。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（六）不按本须知规定提供有关纸质文件材料，或提供虚假文件材料、隐瞒重要事实，引起交易纠纷的。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（七）构成违约责任的其他行为。</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七、网上挂牌出让地块的起始价、增</w:t>
      </w:r>
      <w:r>
        <w:rPr>
          <w:rFonts w:hint="eastAsia" w:ascii="仿宋_GB2312" w:hAnsi="仿宋_GB2312" w:eastAsia="仿宋_GB2312" w:cs="仿宋_GB2312"/>
          <w:b/>
          <w:bCs/>
          <w:sz w:val="32"/>
          <w:szCs w:val="32"/>
          <w:highlight w:val="none"/>
          <w:lang w:val="en-US" w:eastAsia="zh-CN"/>
        </w:rPr>
        <w:t>价</w:t>
      </w:r>
      <w:r>
        <w:rPr>
          <w:rFonts w:hint="eastAsia" w:ascii="仿宋_GB2312" w:hAnsi="仿宋_GB2312" w:eastAsia="仿宋_GB2312" w:cs="仿宋_GB2312"/>
          <w:b/>
          <w:bCs/>
          <w:sz w:val="32"/>
          <w:szCs w:val="32"/>
          <w:highlight w:val="none"/>
        </w:rPr>
        <w:t>幅度</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挂牌起始价为人民币</w:t>
      </w:r>
      <w:r>
        <w:rPr>
          <w:rFonts w:hint="eastAsia" w:ascii="仿宋_GB2312" w:hAnsi="仿宋_GB2312" w:eastAsia="仿宋_GB2312" w:cs="仿宋_GB2312"/>
          <w:sz w:val="32"/>
          <w:szCs w:val="32"/>
          <w:highlight w:val="none"/>
          <w:u w:val="single"/>
          <w:lang w:val="en-US" w:eastAsia="zh-CN"/>
        </w:rPr>
        <w:t>陆亿肆仟肆佰</w:t>
      </w:r>
      <w:r>
        <w:rPr>
          <w:rFonts w:hint="default" w:ascii="仿宋_GB2312" w:hAnsi="仿宋_GB2312" w:eastAsia="仿宋_GB2312" w:cs="仿宋_GB2312"/>
          <w:sz w:val="32"/>
          <w:szCs w:val="32"/>
          <w:highlight w:val="none"/>
          <w:u w:val="single"/>
          <w:lang w:val="en-US" w:eastAsia="zh-CN"/>
        </w:rPr>
        <w:t>万元整</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64400</w:t>
      </w:r>
      <w:r>
        <w:rPr>
          <w:rFonts w:hint="default" w:ascii="仿宋_GB2312" w:hAnsi="仿宋_GB2312" w:eastAsia="仿宋_GB2312" w:cs="仿宋_GB2312"/>
          <w:sz w:val="32"/>
          <w:szCs w:val="32"/>
          <w:highlight w:val="none"/>
          <w:lang w:val="en-US" w:eastAsia="zh-CN"/>
        </w:rPr>
        <w:t>万元）,增价幅度为人民币</w:t>
      </w:r>
      <w:r>
        <w:rPr>
          <w:rFonts w:hint="default" w:ascii="仿宋_GB2312" w:hAnsi="仿宋_GB2312" w:eastAsia="仿宋_GB2312" w:cs="仿宋_GB2312"/>
          <w:sz w:val="32"/>
          <w:szCs w:val="32"/>
          <w:highlight w:val="none"/>
          <w:u w:val="single"/>
          <w:lang w:val="en-US" w:eastAsia="zh-CN"/>
        </w:rPr>
        <w:t>伍佰万元</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500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3" w:name="104"/>
      <w:r>
        <w:rPr>
          <w:rFonts w:hint="eastAsia" w:ascii="仿宋_GB2312" w:hAnsi="仿宋_GB2312" w:eastAsia="仿宋_GB2312" w:cs="仿宋_GB2312"/>
          <w:b/>
          <w:bCs/>
          <w:sz w:val="32"/>
          <w:szCs w:val="32"/>
          <w:highlight w:val="none"/>
        </w:rPr>
        <w:t>八、</w:t>
      </w:r>
      <w:bookmarkEnd w:id="3"/>
      <w:r>
        <w:rPr>
          <w:rFonts w:hint="eastAsia" w:ascii="仿宋_GB2312" w:hAnsi="仿宋_GB2312" w:eastAsia="仿宋_GB2312" w:cs="仿宋_GB2312"/>
          <w:b/>
          <w:bCs/>
          <w:sz w:val="32"/>
          <w:szCs w:val="32"/>
          <w:highlight w:val="none"/>
        </w:rPr>
        <w:t>本次网上挂牌出让活动有关时间</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网上挂牌时间为10个工作日，不包括法定节假日。具体如下：</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（一）网上挂牌起始时间：202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日10时。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（四）网上挂牌报价时间：网上挂牌起止时间内。</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九、挂牌文件获取</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kern w:val="2"/>
          <w:sz w:val="32"/>
          <w:szCs w:val="32"/>
          <w:highlight w:val="none"/>
        </w:rPr>
        <w:t>《</w:t>
      </w:r>
      <w:r>
        <w:rPr>
          <w:rFonts w:hint="eastAsia" w:ascii="仿宋_GB2312" w:hAnsi="宋体" w:eastAsia="仿宋_GB2312" w:cs="宋体"/>
          <w:color w:val="auto"/>
          <w:kern w:val="0"/>
          <w:sz w:val="32"/>
          <w:szCs w:val="32"/>
          <w:highlight w:val="none"/>
          <w:lang w:val="en-US" w:eastAsia="zh-CN" w:bidi="ar-SA"/>
        </w:rPr>
        <w:t>规划设计条件告知书</w:t>
      </w:r>
      <w:r>
        <w:rPr>
          <w:rFonts w:hint="eastAsia" w:ascii="仿宋_GB2312" w:hAnsi="仿宋_GB2312" w:eastAsia="仿宋_GB2312" w:cs="仿宋_GB2312"/>
          <w:kern w:val="2"/>
          <w:sz w:val="32"/>
          <w:szCs w:val="32"/>
          <w:highlight w:val="none"/>
        </w:rPr>
        <w:t>》（案卷编号：PB20210078）</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惠州市</w:t>
      </w:r>
      <w:r>
        <w:rPr>
          <w:rFonts w:hint="eastAsia" w:ascii="仿宋_GB2312" w:hAnsi="仿宋_GB2312" w:eastAsia="仿宋_GB2312" w:cs="仿宋_GB2312"/>
          <w:sz w:val="32"/>
          <w:szCs w:val="32"/>
          <w:highlight w:val="none"/>
          <w:lang w:val="en-US" w:eastAsia="zh-CN"/>
        </w:rPr>
        <w:t>国有建设用地使用权电子挂牌</w:t>
      </w:r>
      <w:r>
        <w:rPr>
          <w:rFonts w:hint="eastAsia" w:ascii="仿宋_GB2312" w:hAnsi="仿宋_GB2312" w:eastAsia="仿宋_GB2312" w:cs="仿宋_GB2312"/>
          <w:sz w:val="32"/>
          <w:szCs w:val="32"/>
          <w:highlight w:val="none"/>
        </w:rPr>
        <w:t>交易成交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《国有建设用地使用权出让合同》（以下简称“出让合同”）样本；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8、其他相关文件</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十、办理数字证书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 xml:space="preserve"> 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十一、答疑及现场踏勘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hint="default" w:ascii="Times New Roman" w:hAnsi="Times New Roman" w:eastAsia="仿宋_GB2312" w:cs="Times New Roman"/>
          <w:b/>
          <w:bCs/>
          <w:sz w:val="32"/>
          <w:szCs w:val="32"/>
          <w:highlight w:val="none"/>
        </w:rPr>
      </w:pPr>
      <w:bookmarkStart w:id="4" w:name="103"/>
      <w:bookmarkEnd w:id="4"/>
      <w:r>
        <w:rPr>
          <w:rFonts w:hint="default" w:ascii="Times New Roman" w:hAnsi="Times New Roman" w:eastAsia="仿宋_GB2312" w:cs="Times New Roman"/>
          <w:b/>
          <w:bCs/>
          <w:sz w:val="32"/>
          <w:szCs w:val="32"/>
          <w:highlight w:val="none"/>
        </w:rPr>
        <w:t xml:space="preserve"> </w:t>
      </w:r>
      <w:r>
        <w:rPr>
          <w:rFonts w:hint="eastAsia" w:ascii="仿宋_GB2312" w:hAnsi="仿宋_GB2312" w:eastAsia="仿宋_GB2312" w:cs="仿宋_GB2312"/>
          <w:b/>
          <w:bCs/>
          <w:sz w:val="32"/>
          <w:szCs w:val="32"/>
          <w:highlight w:val="none"/>
        </w:rPr>
        <w:t>十二、竞买保证金</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（二）本宗地竞买保证金到账截止时间为202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日9时整，竞买保证金为人民币</w:t>
      </w:r>
      <w:r>
        <w:rPr>
          <w:rFonts w:hint="eastAsia" w:ascii="仿宋_GB2312" w:hAnsi="仿宋_GB2312" w:eastAsia="仿宋_GB2312" w:cs="仿宋_GB2312"/>
          <w:sz w:val="32"/>
          <w:szCs w:val="32"/>
          <w:highlight w:val="none"/>
          <w:u w:val="single"/>
          <w:lang w:val="en-US" w:eastAsia="zh-CN"/>
        </w:rPr>
        <w:t>壹亿玖仟叁佰贰拾</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19320</w:t>
      </w:r>
      <w:r>
        <w:rPr>
          <w:rFonts w:hint="eastAsia" w:ascii="仿宋_GB2312" w:hAnsi="仿宋_GB2312" w:eastAsia="仿宋_GB2312" w:cs="仿宋_GB2312"/>
          <w:sz w:val="32"/>
          <w:szCs w:val="32"/>
          <w:highlight w:val="none"/>
        </w:rPr>
        <w:t>万元）；如以外币缴交竞买保证金的，须缴交美元</w:t>
      </w:r>
      <w:r>
        <w:rPr>
          <w:rFonts w:hint="eastAsia" w:ascii="仿宋_GB2312" w:hAnsi="仿宋_GB2312" w:eastAsia="仿宋_GB2312" w:cs="仿宋_GB2312"/>
          <w:sz w:val="32"/>
          <w:szCs w:val="32"/>
          <w:highlight w:val="none"/>
          <w:u w:val="single"/>
          <w:lang w:val="en-US" w:eastAsia="zh-CN"/>
        </w:rPr>
        <w:t>叁仟零叁拾伍</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（USD</w:t>
      </w:r>
      <w:r>
        <w:rPr>
          <w:rFonts w:hint="eastAsia" w:ascii="仿宋_GB2312" w:hAnsi="仿宋_GB2312" w:eastAsia="仿宋_GB2312" w:cs="仿宋_GB2312"/>
          <w:sz w:val="32"/>
          <w:szCs w:val="32"/>
          <w:highlight w:val="none"/>
          <w:u w:val="single"/>
        </w:rPr>
        <w:t>3035</w:t>
      </w:r>
      <w:r>
        <w:rPr>
          <w:rFonts w:hint="eastAsia" w:ascii="仿宋_GB2312" w:hAnsi="仿宋_GB2312" w:eastAsia="仿宋_GB2312" w:cs="仿宋_GB2312"/>
          <w:sz w:val="32"/>
          <w:szCs w:val="32"/>
          <w:highlight w:val="none"/>
        </w:rPr>
        <w:t>万元）或港币</w:t>
      </w:r>
      <w:r>
        <w:rPr>
          <w:rFonts w:hint="eastAsia" w:ascii="仿宋_GB2312" w:hAnsi="仿宋_GB2312" w:eastAsia="仿宋_GB2312" w:cs="仿宋_GB2312"/>
          <w:sz w:val="32"/>
          <w:szCs w:val="32"/>
          <w:highlight w:val="none"/>
          <w:u w:val="single"/>
          <w:lang w:val="en-US" w:eastAsia="zh-CN"/>
        </w:rPr>
        <w:t>贰亿叁仟陆佰柒拾</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（HKD</w:t>
      </w:r>
      <w:r>
        <w:rPr>
          <w:rFonts w:hint="eastAsia" w:ascii="仿宋_GB2312" w:hAnsi="仿宋_GB2312" w:eastAsia="仿宋_GB2312" w:cs="仿宋_GB2312"/>
          <w:sz w:val="32"/>
          <w:szCs w:val="32"/>
          <w:highlight w:val="none"/>
          <w:u w:val="single"/>
        </w:rPr>
        <w:t>23670</w:t>
      </w:r>
      <w:r>
        <w:rPr>
          <w:rFonts w:hint="eastAsia" w:ascii="仿宋_GB2312" w:hAnsi="仿宋_GB2312" w:eastAsia="仿宋_GB2312" w:cs="仿宋_GB2312"/>
          <w:sz w:val="32"/>
          <w:szCs w:val="32"/>
          <w:highlight w:val="none"/>
        </w:rPr>
        <w:t>万元）。</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（四）跨地区或跨行转账的竞买人，需预足资金的在途时间，以免影响竞买人及时取得竞买资格。</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中国民生银行股份有限公司惠州分行。</w:t>
      </w:r>
    </w:p>
    <w:p>
      <w:pPr>
        <w:tabs>
          <w:tab w:val="left" w:pos="3388"/>
        </w:tabs>
        <w:spacing w:line="560" w:lineRule="exact"/>
        <w:ind w:firstLine="640" w:firstLineChars="200"/>
        <w:jc w:val="left"/>
        <w:rPr>
          <w:rFonts w:hint="default" w:ascii="Times New Roman" w:hAnsi="Times New Roman" w:cs="Times New Roman"/>
          <w:highlight w:val="none"/>
          <w:lang w:val="en-US"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中信银行股份有限公司惠州分行。(备注:中信银行股份有限公司惠州分行本行转</w:t>
      </w:r>
      <w:r>
        <w:rPr>
          <w:rFonts w:hint="eastAsia" w:ascii="仿宋_GB2312" w:hAnsi="仿宋_GB2312" w:eastAsia="仿宋_GB2312" w:cs="仿宋_GB2312"/>
          <w:kern w:val="2"/>
          <w:sz w:val="32"/>
          <w:szCs w:val="32"/>
          <w:highlight w:val="none"/>
          <w:lang w:val="en-US" w:eastAsia="zh-CN" w:bidi="ar-SA"/>
        </w:rPr>
        <w:t>账</w:t>
      </w:r>
      <w:r>
        <w:rPr>
          <w:rFonts w:hint="eastAsia" w:ascii="仿宋_GB2312" w:hAnsi="仿宋_GB2312" w:eastAsia="仿宋_GB2312" w:cs="仿宋_GB2312"/>
          <w:sz w:val="32"/>
          <w:szCs w:val="32"/>
          <w:highlight w:val="none"/>
        </w:rPr>
        <w:t>须到银行柜面办理)。</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5" w:name="107"/>
      <w:r>
        <w:rPr>
          <w:rFonts w:hint="eastAsia" w:ascii="仿宋_GB2312" w:hAnsi="仿宋_GB2312" w:eastAsia="仿宋_GB2312" w:cs="仿宋_GB2312"/>
          <w:b/>
          <w:bCs/>
          <w:sz w:val="32"/>
          <w:szCs w:val="32"/>
          <w:highlight w:val="none"/>
        </w:rPr>
        <w:t>十三、</w:t>
      </w:r>
      <w:bookmarkEnd w:id="5"/>
      <w:r>
        <w:rPr>
          <w:rFonts w:hint="eastAsia" w:ascii="仿宋_GB2312" w:hAnsi="仿宋_GB2312" w:eastAsia="仿宋_GB2312" w:cs="仿宋_GB2312"/>
          <w:b/>
          <w:bCs/>
          <w:sz w:val="32"/>
          <w:szCs w:val="32"/>
          <w:highlight w:val="none"/>
        </w:rPr>
        <w:t>网上报价及“限地价、</w:t>
      </w:r>
      <w:r>
        <w:rPr>
          <w:rFonts w:hint="eastAsia" w:ascii="仿宋_GB2312" w:hAnsi="仿宋_GB2312" w:eastAsia="仿宋_GB2312" w:cs="仿宋_GB2312"/>
          <w:b/>
          <w:bCs/>
          <w:sz w:val="32"/>
          <w:szCs w:val="32"/>
          <w:highlight w:val="none"/>
          <w:lang w:val="en-US" w:eastAsia="zh-CN"/>
        </w:rPr>
        <w:t>摇号</w:t>
      </w:r>
      <w:r>
        <w:rPr>
          <w:rFonts w:hint="eastAsia" w:ascii="仿宋_GB2312" w:hAnsi="仿宋_GB2312" w:eastAsia="仿宋_GB2312" w:cs="仿宋_GB2312"/>
          <w:b/>
          <w:bCs/>
          <w:sz w:val="32"/>
          <w:szCs w:val="32"/>
          <w:highlight w:val="none"/>
        </w:rPr>
        <w:t>”规则</w:t>
      </w:r>
    </w:p>
    <w:p>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（一）本宗建设用地使用权网上挂牌采取“限地价、</w:t>
      </w:r>
      <w:r>
        <w:rPr>
          <w:rFonts w:hint="eastAsia" w:ascii="仿宋_GB2312" w:hAnsi="仿宋_GB2312" w:eastAsia="仿宋_GB2312" w:cs="仿宋_GB2312"/>
          <w:sz w:val="32"/>
          <w:szCs w:val="32"/>
          <w:highlight w:val="none"/>
          <w:lang w:val="en-US" w:eastAsia="zh-CN"/>
        </w:rPr>
        <w:t>摇号</w:t>
      </w:r>
      <w:r>
        <w:rPr>
          <w:rFonts w:hint="eastAsia" w:ascii="仿宋_GB2312" w:hAnsi="仿宋_GB2312" w:eastAsia="仿宋_GB2312" w:cs="仿宋_GB2312"/>
          <w:sz w:val="32"/>
          <w:szCs w:val="32"/>
          <w:highlight w:val="none"/>
        </w:rPr>
        <w:t>”出让方式，竞买人以增价方式通过网上挂牌交易系统进行报价，当报价达到最高限价时，交易系统转入</w:t>
      </w:r>
      <w:r>
        <w:rPr>
          <w:rFonts w:hint="eastAsia" w:ascii="仿宋_GB2312" w:hAnsi="仿宋_GB2312" w:eastAsia="仿宋_GB2312" w:cs="仿宋_GB2312"/>
          <w:sz w:val="32"/>
          <w:szCs w:val="32"/>
          <w:highlight w:val="none"/>
          <w:lang w:val="en-US" w:eastAsia="zh-CN"/>
        </w:rPr>
        <w:t>采取摇号方式确定</w:t>
      </w:r>
      <w:r>
        <w:rPr>
          <w:rFonts w:hint="eastAsia" w:ascii="仿宋_GB2312" w:hAnsi="仿宋_GB2312" w:eastAsia="仿宋_GB2312" w:cs="仿宋_GB2312"/>
          <w:sz w:val="32"/>
          <w:szCs w:val="32"/>
          <w:highlight w:val="none"/>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（二）每次</w:t>
      </w:r>
      <w:r>
        <w:rPr>
          <w:rFonts w:hint="eastAsia" w:ascii="仿宋_GB2312" w:hAnsi="仿宋_GB2312" w:eastAsia="仿宋_GB2312" w:cs="仿宋_GB2312"/>
          <w:sz w:val="32"/>
          <w:szCs w:val="32"/>
          <w:highlight w:val="none"/>
          <w:lang w:val="en-US" w:eastAsia="zh-CN"/>
        </w:rPr>
        <w:t>增价</w:t>
      </w:r>
      <w:r>
        <w:rPr>
          <w:rFonts w:hint="eastAsia" w:ascii="仿宋_GB2312" w:hAnsi="仿宋_GB2312" w:eastAsia="仿宋_GB2312" w:cs="仿宋_GB2312"/>
          <w:sz w:val="32"/>
          <w:szCs w:val="32"/>
          <w:highlight w:val="none"/>
        </w:rPr>
        <w:t>幅度</w:t>
      </w:r>
      <w:r>
        <w:rPr>
          <w:rFonts w:hint="eastAsia" w:ascii="仿宋_GB2312" w:hAnsi="仿宋_GB2312" w:eastAsia="仿宋_GB2312" w:cs="仿宋_GB2312"/>
          <w:sz w:val="32"/>
          <w:szCs w:val="32"/>
          <w:highlight w:val="none"/>
          <w:lang w:val="en-US" w:eastAsia="zh-CN"/>
        </w:rPr>
        <w:t>应是本须知规定的增价幅度的整数倍</w:t>
      </w:r>
      <w:r>
        <w:rPr>
          <w:rFonts w:hint="eastAsia" w:ascii="仿宋_GB2312" w:hAnsi="仿宋_GB2312" w:eastAsia="仿宋_GB2312" w:cs="仿宋_GB2312"/>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（五）竞买人应当谨慎报价，报价一经提交并经网上挂牌</w:t>
      </w:r>
      <w:r>
        <w:rPr>
          <w:rFonts w:hint="eastAsia" w:ascii="仿宋_GB2312" w:hAnsi="仿宋_GB2312" w:eastAsia="仿宋_GB2312" w:cs="仿宋_GB2312"/>
          <w:sz w:val="32"/>
          <w:szCs w:val="32"/>
          <w:highlight w:val="none"/>
          <w:lang w:val="en-US" w:eastAsia="zh-CN"/>
        </w:rPr>
        <w:t>交易</w:t>
      </w:r>
      <w:r>
        <w:rPr>
          <w:rFonts w:hint="eastAsia" w:ascii="仿宋_GB2312" w:hAnsi="仿宋_GB2312" w:eastAsia="仿宋_GB2312" w:cs="仿宋_GB2312"/>
          <w:sz w:val="32"/>
          <w:szCs w:val="32"/>
          <w:highlight w:val="none"/>
        </w:rPr>
        <w:t>系统确认为有效报价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val="en-US" w:eastAsia="zh-CN"/>
        </w:rPr>
        <w:t>报价不能高于最高限价</w:t>
      </w:r>
      <w:r>
        <w:rPr>
          <w:rFonts w:hint="eastAsia" w:ascii="仿宋_GB2312" w:hAnsi="仿宋_GB2312" w:eastAsia="仿宋_GB2312" w:cs="仿宋_GB2312"/>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val="en-US" w:eastAsia="zh-CN"/>
        </w:rPr>
        <w:t>不同竞买人均可报最高限价</w:t>
      </w:r>
      <w:r>
        <w:rPr>
          <w:rFonts w:hint="eastAsia" w:ascii="仿宋_GB2312" w:hAnsi="仿宋_GB2312" w:eastAsia="仿宋_GB2312" w:cs="仿宋_GB2312"/>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lang w:val="en-US" w:eastAsia="zh-CN"/>
        </w:rPr>
        <w:t>进入限时竞价，限时竞价中</w:t>
      </w:r>
      <w:r>
        <w:rPr>
          <w:rFonts w:hint="eastAsia" w:ascii="仿宋_GB2312" w:hAnsi="仿宋_GB2312" w:eastAsia="仿宋_GB2312" w:cs="仿宋_GB2312"/>
          <w:sz w:val="32"/>
          <w:szCs w:val="32"/>
          <w:highlight w:val="none"/>
        </w:rPr>
        <w:t>最高报价达到最高限价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只有</w:t>
      </w:r>
      <w:r>
        <w:rPr>
          <w:rFonts w:hint="eastAsia" w:ascii="仿宋_GB2312" w:hAnsi="仿宋_GB2312" w:eastAsia="仿宋_GB2312" w:cs="仿宋_GB2312"/>
          <w:sz w:val="32"/>
          <w:szCs w:val="32"/>
          <w:highlight w:val="none"/>
          <w:lang w:val="en-US" w:eastAsia="zh-CN"/>
        </w:rPr>
        <w:t>1个</w:t>
      </w:r>
      <w:r>
        <w:rPr>
          <w:rFonts w:hint="eastAsia" w:ascii="仿宋_GB2312" w:hAnsi="仿宋_GB2312" w:eastAsia="仿宋_GB2312" w:cs="仿宋_GB2312"/>
          <w:sz w:val="32"/>
          <w:szCs w:val="32"/>
          <w:highlight w:val="none"/>
        </w:rPr>
        <w:t>竞买人报最高限价，该报价者为竞得人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val="en-US" w:eastAsia="zh-CN"/>
        </w:rPr>
        <w:t>2个</w:t>
      </w:r>
      <w:r>
        <w:rPr>
          <w:rFonts w:hint="eastAsia" w:ascii="仿宋_GB2312" w:hAnsi="仿宋_GB2312" w:eastAsia="仿宋_GB2312" w:cs="仿宋_GB2312"/>
          <w:sz w:val="32"/>
          <w:szCs w:val="32"/>
          <w:highlight w:val="none"/>
        </w:rPr>
        <w:t>以上竞买人报最高限价，系统将选取报最高限价的竞买号进行摇号，采取摇号的方式在规定的时间内确定竞得人。</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十四、系统操作</w:t>
      </w:r>
    </w:p>
    <w:p>
      <w:pPr>
        <w:tabs>
          <w:tab w:val="left" w:pos="3388"/>
        </w:tabs>
        <w:spacing w:line="560" w:lineRule="exact"/>
        <w:ind w:firstLine="640"/>
        <w:jc w:val="left"/>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rPr>
        <w:t>土地与矿业交易系统竞买人操作视频</w:t>
      </w:r>
      <w:r>
        <w:rPr>
          <w:rFonts w:hint="eastAsia" w:ascii="仿宋_GB2312" w:hAnsi="仿宋_GB2312" w:eastAsia="仿宋_GB2312" w:cs="仿宋_GB2312"/>
          <w:sz w:val="32"/>
          <w:szCs w:val="32"/>
          <w:highlight w:val="none"/>
          <w:lang w:val="en-US" w:eastAsia="zh-CN"/>
        </w:rPr>
        <w:t>可在</w:t>
      </w:r>
      <w:r>
        <w:rPr>
          <w:rFonts w:hint="eastAsia" w:ascii="仿宋_GB2312" w:hAnsi="仿宋_GB2312" w:eastAsia="仿宋_GB2312" w:cs="仿宋_GB2312"/>
          <w:sz w:val="32"/>
          <w:szCs w:val="32"/>
          <w:highlight w:val="none"/>
        </w:rPr>
        <w:t>本中心网上挂牌交易系</w:t>
      </w:r>
      <w:r>
        <w:rPr>
          <w:rFonts w:hint="eastAsia" w:ascii="仿宋_GB2312" w:hAnsi="仿宋_GB2312" w:eastAsia="仿宋_GB2312" w:cs="仿宋_GB2312"/>
          <w:sz w:val="32"/>
          <w:szCs w:val="32"/>
          <w:highlight w:val="none"/>
          <w:lang w:val="en-US" w:eastAsia="zh-CN"/>
        </w:rPr>
        <w:t>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下载。</w:t>
      </w:r>
      <w:bookmarkStart w:id="6" w:name="106"/>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十五、</w:t>
      </w:r>
      <w:bookmarkEnd w:id="6"/>
      <w:r>
        <w:rPr>
          <w:rFonts w:hint="eastAsia" w:ascii="仿宋_GB2312" w:hAnsi="仿宋_GB2312" w:eastAsia="仿宋_GB2312" w:cs="仿宋_GB2312"/>
          <w:b/>
          <w:bCs/>
          <w:sz w:val="32"/>
          <w:szCs w:val="32"/>
          <w:highlight w:val="none"/>
        </w:rPr>
        <w:t>网上挂牌程序</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（一）公布网上挂牌信息</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有意竞买者可</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办理好数字证书的申请人决定参加本宗地网上挂牌竞买的，应按网上挂牌交易系统要求填写真实有效的申请人身份</w:t>
      </w:r>
      <w:r>
        <w:rPr>
          <w:rFonts w:hint="eastAsia" w:ascii="仿宋_GB2312" w:hAnsi="仿宋_GB2312" w:eastAsia="仿宋_GB2312" w:cs="仿宋_GB2312"/>
          <w:color w:val="auto"/>
          <w:sz w:val="32"/>
          <w:szCs w:val="32"/>
          <w:highlight w:val="none"/>
          <w:lang w:val="en-US" w:eastAsia="zh-CN"/>
        </w:rPr>
        <w:t>等信息</w:t>
      </w:r>
      <w:r>
        <w:rPr>
          <w:rFonts w:hint="eastAsia" w:ascii="仿宋_GB2312" w:hAnsi="仿宋_GB2312" w:eastAsia="仿宋_GB2312" w:cs="仿宋_GB2312"/>
          <w:color w:val="auto"/>
          <w:sz w:val="32"/>
          <w:szCs w:val="32"/>
          <w:highlight w:val="none"/>
        </w:rPr>
        <w:t>并向网上挂牌交易系统提交</w:t>
      </w:r>
      <w:r>
        <w:rPr>
          <w:rFonts w:hint="eastAsia" w:ascii="仿宋_GB2312" w:hAnsi="仿宋_GB2312" w:eastAsia="仿宋_GB2312" w:cs="仿宋_GB2312"/>
          <w:color w:val="auto"/>
          <w:sz w:val="32"/>
          <w:szCs w:val="32"/>
          <w:highlight w:val="none"/>
          <w:lang w:val="en-US" w:eastAsia="zh-CN"/>
        </w:rPr>
        <w:t>竞买</w:t>
      </w:r>
      <w:r>
        <w:rPr>
          <w:rFonts w:hint="eastAsia" w:ascii="仿宋_GB2312" w:hAnsi="仿宋_GB2312" w:eastAsia="仿宋_GB2312" w:cs="仿宋_GB2312"/>
          <w:color w:val="auto"/>
          <w:sz w:val="32"/>
          <w:szCs w:val="32"/>
          <w:highlight w:val="none"/>
        </w:rPr>
        <w:t>申请。企业对本宗地进行联合竞买的，应当按要求如实填写联合竞买各方的相关信息和出资比例。</w:t>
      </w:r>
    </w:p>
    <w:p>
      <w:pPr>
        <w:tabs>
          <w:tab w:val="left" w:pos="3388"/>
        </w:tabs>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rPr>
        <w:t xml:space="preserve">权限。 </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（四）网上挂牌报价</w:t>
      </w:r>
      <w:r>
        <w:rPr>
          <w:rFonts w:hint="eastAsia" w:ascii="仿宋_GB2312" w:hAnsi="仿宋_GB2312" w:eastAsia="仿宋_GB2312" w:cs="仿宋_GB2312"/>
          <w:sz w:val="32"/>
          <w:szCs w:val="32"/>
          <w:highlight w:val="none"/>
          <w:lang w:val="en-US" w:eastAsia="zh-CN"/>
        </w:rPr>
        <w:t>及摇号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当地块竞价至最高限价时，转入摇号环节</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w:t>
      </w:r>
      <w:r>
        <w:rPr>
          <w:rFonts w:hint="eastAsia" w:ascii="仿宋_GB2312" w:hAnsi="仿宋_GB2312" w:eastAsia="仿宋_GB2312" w:cs="仿宋_GB2312"/>
          <w:sz w:val="32"/>
          <w:szCs w:val="32"/>
          <w:highlight w:val="none"/>
          <w:lang w:val="en-US" w:eastAsia="zh-CN"/>
        </w:rPr>
        <w:t>及“限地价、摇号”</w:t>
      </w:r>
      <w:r>
        <w:rPr>
          <w:rFonts w:hint="eastAsia" w:ascii="仿宋_GB2312" w:hAnsi="仿宋_GB2312" w:eastAsia="仿宋_GB2312" w:cs="仿宋_GB2312"/>
          <w:sz w:val="32"/>
          <w:szCs w:val="32"/>
          <w:highlight w:val="none"/>
        </w:rPr>
        <w:t>规则见</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 xml:space="preserve"> 2、竞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color w:val="auto"/>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（4）转</w:t>
      </w:r>
      <w:r>
        <w:rPr>
          <w:rFonts w:hint="eastAsia" w:ascii="仿宋_GB2312" w:hAnsi="仿宋_GB2312" w:eastAsia="仿宋_GB2312" w:cs="仿宋_GB2312"/>
          <w:sz w:val="32"/>
          <w:szCs w:val="32"/>
          <w:highlight w:val="none"/>
          <w:lang w:eastAsia="zh-CN"/>
        </w:rPr>
        <w:t>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房地产开发资质材料</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购地资金来源相应证明及承诺书。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境外竞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人按照上述规定提交的有关竞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人身份证明及其他相关文件，应按规定由中华人民共和国驻该国、该地区大使馆或领事馆公证或认证；香港竞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人身份证明及其他相关文件应由中华人民共和国司法部授权的香港律师公证人公证并由中国法律服务（香港）有限公司加盖转递章；澳门竞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人身份证明及其他相关文件应由中华人民共和国司法部授权的澳门律师公证人公证；台湾竞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人身份证明及其他相关文件应由台湾公证人公证并存广东省公证协会副本备案。</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人如需保存上述竞买报名资料应自留备份，本中心不予退还。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联合竞买协议要约定联合各方的权利和义务。必须明确表达参与联合竞买的各方、参与竞买的代表人、联合各方的出资比例和签订《出让合同》时的受让人。</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lang w:val="en-US" w:eastAsia="zh-CN" w:bidi="ar-SA"/>
        </w:rPr>
        <w:t>3、未</w:t>
      </w:r>
      <w:r>
        <w:rPr>
          <w:rFonts w:hint="eastAsia" w:ascii="仿宋_GB2312" w:hAnsi="仿宋_GB2312" w:eastAsia="仿宋_GB2312" w:cs="仿宋_GB2312"/>
          <w:color w:val="auto"/>
          <w:kern w:val="2"/>
          <w:sz w:val="32"/>
          <w:szCs w:val="32"/>
          <w:highlight w:val="none"/>
          <w:lang w:val="en-US" w:eastAsia="zh-CN" w:bidi="ar-SA"/>
        </w:rPr>
        <w:t>竞得人应当在网上挂牌交易结果公布之日起2个工作日内向委托方提交房地产开发资质材料、购地资金来源</w:t>
      </w:r>
      <w:r>
        <w:rPr>
          <w:rFonts w:hint="eastAsia" w:ascii="仿宋_GB2312" w:hAnsi="仿宋_GB2312" w:eastAsia="仿宋_GB2312" w:cs="仿宋_GB2312"/>
          <w:sz w:val="32"/>
          <w:szCs w:val="32"/>
          <w:highlight w:val="none"/>
          <w:lang w:val="en-US" w:eastAsia="zh-CN"/>
        </w:rPr>
        <w:t>相应证明及</w:t>
      </w:r>
      <w:r>
        <w:rPr>
          <w:rFonts w:hint="eastAsia" w:ascii="仿宋_GB2312" w:hAnsi="仿宋_GB2312" w:eastAsia="仿宋_GB2312" w:cs="仿宋_GB2312"/>
          <w:color w:val="auto"/>
          <w:kern w:val="2"/>
          <w:sz w:val="32"/>
          <w:szCs w:val="32"/>
          <w:highlight w:val="none"/>
          <w:lang w:val="en-US" w:eastAsia="zh-CN" w:bidi="ar-SA"/>
        </w:rPr>
        <w:t>承诺书有关纸质材料，由委托方进行审查。</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上述文件中，申请书必须用中文书写，其他文件可以使用其它语言，但必须附中文译本，所有文件的解释以中文译本为准。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）网上挂牌出让结果公示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7" w:name="108"/>
      <w:r>
        <w:rPr>
          <w:rFonts w:hint="eastAsia" w:ascii="仿宋_GB2312" w:hAnsi="仿宋_GB2312" w:eastAsia="仿宋_GB2312" w:cs="仿宋_GB2312"/>
          <w:b/>
          <w:bCs/>
          <w:sz w:val="32"/>
          <w:szCs w:val="32"/>
          <w:highlight w:val="none"/>
        </w:rPr>
        <w:t>十六、</w:t>
      </w:r>
      <w:bookmarkEnd w:id="7"/>
      <w:r>
        <w:rPr>
          <w:rFonts w:hint="eastAsia" w:ascii="仿宋_GB2312" w:hAnsi="仿宋_GB2312" w:eastAsia="仿宋_GB2312" w:cs="仿宋_GB2312"/>
          <w:b/>
          <w:bCs/>
          <w:sz w:val="32"/>
          <w:szCs w:val="32"/>
          <w:highlight w:val="none"/>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（二）本次国有建设用地使用权网上挂牌竞价达到74060万元时，转为采取摇号方式确定竞得人。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成交价的10%转作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w:t>
      </w:r>
      <w:r>
        <w:rPr>
          <w:rFonts w:hint="eastAsia" w:ascii="仿宋_GB2312" w:hAnsi="仿宋_GB2312" w:eastAsia="仿宋_GB2312" w:cs="仿宋_GB2312"/>
          <w:sz w:val="32"/>
          <w:szCs w:val="32"/>
          <w:highlight w:val="none"/>
          <w:lang w:val="en-US" w:eastAsia="zh-CN"/>
        </w:rPr>
        <w:t>部分返回给竞得人</w:t>
      </w:r>
      <w:r>
        <w:rPr>
          <w:rFonts w:hint="eastAsia" w:ascii="仿宋_GB2312" w:hAnsi="仿宋_GB2312" w:eastAsia="仿宋_GB2312" w:cs="仿宋_GB2312"/>
          <w:sz w:val="32"/>
          <w:szCs w:val="32"/>
          <w:highlight w:val="none"/>
        </w:rPr>
        <w:t>，待竞得人按时缴清成交价款后，再将定金退</w:t>
      </w:r>
      <w:r>
        <w:rPr>
          <w:rFonts w:hint="eastAsia" w:ascii="仿宋_GB2312" w:hAnsi="仿宋_GB2312" w:eastAsia="仿宋_GB2312" w:cs="仿宋_GB2312"/>
          <w:sz w:val="32"/>
          <w:szCs w:val="32"/>
          <w:highlight w:val="none"/>
          <w:lang w:val="en-US" w:eastAsia="zh-CN"/>
        </w:rPr>
        <w:t>还</w:t>
      </w:r>
      <w:r>
        <w:rPr>
          <w:rFonts w:hint="eastAsia" w:ascii="仿宋_GB2312" w:hAnsi="仿宋_GB2312" w:eastAsia="仿宋_GB2312" w:cs="仿宋_GB2312"/>
          <w:sz w:val="32"/>
          <w:szCs w:val="32"/>
          <w:highlight w:val="none"/>
        </w:rPr>
        <w:t>，不计利息。</w:t>
      </w:r>
    </w:p>
    <w:p>
      <w:pPr>
        <w:tabs>
          <w:tab w:val="left" w:pos="3388"/>
        </w:tabs>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未竞得人缴纳的竞买保证金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以人民币缴纳的竞买保证金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于电子挂牌交易活动结束</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rPr>
        <w:t>5个工作日内</w:t>
      </w:r>
      <w:r>
        <w:rPr>
          <w:rFonts w:hint="eastAsia" w:ascii="仿宋_GB2312" w:hAnsi="仿宋_GB2312" w:eastAsia="仿宋_GB2312" w:cs="仿宋_GB2312"/>
          <w:color w:val="auto"/>
          <w:sz w:val="32"/>
          <w:szCs w:val="32"/>
          <w:highlight w:val="none"/>
          <w:lang w:val="en-US" w:eastAsia="zh-CN"/>
        </w:rPr>
        <w:t>通过网上退还的形式原路退还保证金</w:t>
      </w:r>
      <w:r>
        <w:rPr>
          <w:rFonts w:hint="eastAsia" w:ascii="仿宋_GB2312" w:hAnsi="仿宋_GB2312" w:eastAsia="仿宋_GB2312" w:cs="仿宋_GB2312"/>
          <w:color w:val="auto"/>
          <w:sz w:val="32"/>
          <w:szCs w:val="32"/>
          <w:highlight w:val="none"/>
        </w:rPr>
        <w:t>，不计利息</w:t>
      </w:r>
      <w:r>
        <w:rPr>
          <w:rFonts w:hint="eastAsia" w:ascii="仿宋_GB2312" w:hAnsi="仿宋_GB2312" w:eastAsia="仿宋_GB2312" w:cs="仿宋_GB2312"/>
          <w:color w:val="auto"/>
          <w:sz w:val="32"/>
          <w:szCs w:val="32"/>
          <w:highlight w:val="none"/>
          <w:lang w:val="en-US" w:eastAsia="zh-CN"/>
        </w:rPr>
        <w:t>。未竞得人以外币缴纳</w:t>
      </w:r>
      <w:r>
        <w:rPr>
          <w:rFonts w:hint="eastAsia" w:ascii="仿宋_GB2312" w:hAnsi="仿宋_GB2312" w:eastAsia="仿宋_GB2312" w:cs="仿宋_GB2312"/>
          <w:sz w:val="32"/>
          <w:szCs w:val="32"/>
          <w:highlight w:val="none"/>
          <w:lang w:val="en-US" w:eastAsia="zh-CN"/>
        </w:rPr>
        <w:t>竞买保证金的，将</w:t>
      </w:r>
      <w:r>
        <w:rPr>
          <w:rFonts w:hint="eastAsia" w:ascii="仿宋_GB2312" w:hAnsi="仿宋_GB2312" w:eastAsia="仿宋_GB2312" w:cs="仿宋_GB2312"/>
          <w:sz w:val="32"/>
          <w:szCs w:val="32"/>
          <w:highlight w:val="none"/>
        </w:rPr>
        <w:t>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《保证金到</w:t>
      </w:r>
      <w:r>
        <w:rPr>
          <w:rFonts w:hint="eastAsia" w:ascii="仿宋_GB2312" w:hAnsi="仿宋_GB2312" w:eastAsia="仿宋_GB2312" w:cs="仿宋_GB2312"/>
          <w:color w:val="000000"/>
          <w:sz w:val="32"/>
          <w:szCs w:val="32"/>
          <w:highlight w:val="none"/>
          <w:lang w:val="en-US" w:eastAsia="zh-CN"/>
        </w:rPr>
        <w:t>账</w:t>
      </w:r>
      <w:r>
        <w:rPr>
          <w:rFonts w:hint="eastAsia" w:ascii="仿宋_GB2312" w:hAnsi="仿宋_GB2312" w:eastAsia="仿宋_GB2312" w:cs="仿宋_GB2312"/>
          <w:color w:val="000000"/>
          <w:sz w:val="32"/>
          <w:szCs w:val="32"/>
          <w:highlight w:val="none"/>
        </w:rPr>
        <w:t>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《成交确认书》签订之日起10个工作日内竞得人须与出让人签订《出让合同》。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6、市自然资源管理部门或交易中心认为应当暂停、中止或终止网上挂牌交易活动的其他情形。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highlight w:val="none"/>
        </w:rPr>
      </w:pPr>
    </w:p>
    <w:p>
      <w:pPr>
        <w:tabs>
          <w:tab w:val="left" w:pos="3388"/>
        </w:tabs>
        <w:ind w:firstLine="4640" w:firstLineChars="14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 xml:space="preserve">                               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bookmarkStart w:id="8" w:name="_GoBack"/>
      <w:bookmarkEnd w:id="8"/>
      <w:r>
        <w:rPr>
          <w:rFonts w:hint="eastAsia" w:ascii="仿宋_GB2312" w:hAnsi="仿宋_GB2312" w:eastAsia="仿宋_GB2312" w:cs="仿宋_GB2312"/>
          <w:sz w:val="32"/>
          <w:szCs w:val="32"/>
          <w:highlight w:val="none"/>
        </w:rPr>
        <w:t>日</w:t>
      </w:r>
    </w:p>
    <w:p>
      <w:pPr>
        <w:rPr>
          <w:highlight w:val="none"/>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17AE"/>
    <w:rsid w:val="0F406E15"/>
    <w:rsid w:val="20A97E2B"/>
    <w:rsid w:val="2A535D9F"/>
    <w:rsid w:val="2C970076"/>
    <w:rsid w:val="35936019"/>
    <w:rsid w:val="39EA0360"/>
    <w:rsid w:val="3B860A32"/>
    <w:rsid w:val="3E603CF0"/>
    <w:rsid w:val="4D4722D4"/>
    <w:rsid w:val="4E2152CF"/>
    <w:rsid w:val="4ED01B0E"/>
    <w:rsid w:val="509B0510"/>
    <w:rsid w:val="65DD674C"/>
    <w:rsid w:val="710B17AE"/>
    <w:rsid w:val="725637B1"/>
    <w:rsid w:val="73C873C1"/>
    <w:rsid w:val="74D3105E"/>
    <w:rsid w:val="7A34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2021-10-15T09:48:00Z</dcterms:created>
  <dc:creator>杨惠丹</dc:creator>
  <cp:lastModifiedBy>杨惠丹</cp:lastModifiedBy>
  <cp:lastPrinted>2021-12-27T09:42:48Z</cp:lastPrinted>
  <dcterms:modified xsi:type="dcterms:W3CDTF">2021-12-27T09:52:00Z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