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惠州市国有建设用地使用权网上挂牌</w:t>
      </w:r>
      <w:r>
        <w:rPr>
          <w:rFonts w:hint="eastAsia" w:ascii="方正小标宋_GBK" w:hAnsi="华文中宋" w:eastAsia="方正小标宋_GBK"/>
          <w:b/>
          <w:bCs/>
          <w:sz w:val="44"/>
          <w:szCs w:val="44"/>
          <w:highlight w:val="none"/>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054</w:t>
      </w:r>
      <w:r>
        <w:rPr>
          <w:rFonts w:hint="eastAsia" w:ascii="仿宋_GB2312" w:hAnsi="仿宋_GB2312" w:eastAsia="仿宋_GB2312" w:cs="仿宋_GB2312"/>
          <w:sz w:val="32"/>
          <w:szCs w:val="32"/>
          <w:highlight w:val="none"/>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、网上挂牌竞买时间为202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eastAsia="zh-CN"/>
        </w:rPr>
        <w:t>日9时至202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lang w:eastAsia="zh-CN"/>
        </w:rPr>
        <w:t>日10时。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三、挂牌起始价为人民币64400万元,每次报价加价幅度为人民币500万元的整数倍</w:t>
      </w:r>
      <w:r>
        <w:rPr>
          <w:rFonts w:hint="eastAsia" w:ascii="仿宋_GB2312" w:hAnsi="仿宋_GB2312" w:eastAsia="仿宋_GB2312" w:cs="仿宋_GB2312"/>
          <w:sz w:val="32"/>
          <w:szCs w:val="32"/>
          <w:highlight w:val="none"/>
        </w:rPr>
        <w:t>。</w:t>
      </w:r>
    </w:p>
    <w:p>
      <w:pPr>
        <w:spacing w:line="520" w:lineRule="exact"/>
        <w:ind w:firstLine="720" w:firstLineChars="225"/>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val="en-US" w:eastAsia="zh-CN"/>
        </w:rPr>
        <w:t>竞买资格及要求</w:t>
      </w:r>
    </w:p>
    <w:p>
      <w:pPr>
        <w:spacing w:line="520" w:lineRule="exact"/>
        <w:ind w:firstLine="720" w:firstLineChars="22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r>
        <w:rPr>
          <w:rFonts w:hint="eastAsia" w:ascii="仿宋_GB2312" w:hAnsi="仿宋_GB2312" w:eastAsia="仿宋_GB2312" w:cs="仿宋_GB2312"/>
          <w:sz w:val="32"/>
          <w:szCs w:val="32"/>
          <w:highlight w:val="none"/>
        </w:rPr>
        <w:t>：</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1、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szCs w:val="32"/>
          <w:highlight w:val="none"/>
        </w:rPr>
        <w:t>。</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2、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r>
        <w:rPr>
          <w:rFonts w:hint="eastAsia" w:ascii="仿宋_GB2312" w:hAnsi="仿宋_GB2312" w:eastAsia="仿宋_GB2312" w:cs="仿宋_GB2312"/>
          <w:szCs w:val="32"/>
          <w:highlight w:val="none"/>
        </w:rPr>
        <w:t>。</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default" w:ascii="Times New Roman" w:hAnsi="Times New Roman" w:eastAsia="仿宋_GB2312" w:cs="Times New Roman"/>
          <w:kern w:val="2"/>
          <w:sz w:val="32"/>
          <w:szCs w:val="32"/>
          <w:highlight w:val="none"/>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二</w:t>
      </w:r>
      <w:r>
        <w:rPr>
          <w:rFonts w:hint="eastAsia" w:ascii="仿宋_GB2312" w:hAnsi="仿宋_GB2312" w:eastAsia="仿宋_GB2312" w:cs="仿宋_GB2312"/>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结束后提交相应证明并对上述要求作出承诺</w:t>
      </w:r>
      <w:r>
        <w:rPr>
          <w:rFonts w:hint="default" w:ascii="仿宋_GB2312" w:hAnsi="仿宋_GB2312" w:eastAsia="仿宋_GB2312" w:cs="仿宋_GB2312"/>
          <w:szCs w:val="32"/>
          <w:highlight w:val="none"/>
          <w:lang w:val="en-US" w:eastAsia="zh-CN"/>
        </w:rPr>
        <w:t>。</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val="en-US" w:eastAsia="zh-CN"/>
        </w:rPr>
        <w:t>五</w:t>
      </w:r>
      <w:r>
        <w:rPr>
          <w:rFonts w:hint="eastAsia" w:ascii="仿宋_GB2312" w:hAnsi="仿宋_GB2312" w:eastAsia="仿宋_GB2312" w:cs="仿宋_GB2312"/>
          <w:szCs w:val="32"/>
          <w:highlight w:val="none"/>
        </w:rPr>
        <w:t>、该宗地竞买保证金可用人民币及外币（暂限于美元、港币）支付</w:t>
      </w:r>
      <w:r>
        <w:rPr>
          <w:rFonts w:hint="eastAsia" w:ascii="仿宋_GB2312" w:hAnsi="仿宋_GB2312" w:eastAsia="仿宋_GB2312" w:cs="仿宋_GB2312"/>
          <w:szCs w:val="32"/>
          <w:highlight w:val="none"/>
          <w:lang w:eastAsia="zh-CN"/>
        </w:rPr>
        <w:t>。</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六</w:t>
      </w:r>
      <w:r>
        <w:rPr>
          <w:rFonts w:hint="eastAsia" w:ascii="仿宋_GB2312" w:hAnsi="仿宋_GB2312" w:eastAsia="仿宋_GB2312" w:cs="仿宋_GB2312"/>
          <w:szCs w:val="32"/>
          <w:highlight w:val="none"/>
        </w:rPr>
        <w:t>、申请人应具备的其他条件：</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一）缴交竞买保证金19320万元人民币，如以外币缴交竞买保证金的，须缴交美元3035万元、港币23670万元</w:t>
      </w:r>
      <w:r>
        <w:rPr>
          <w:rFonts w:hint="eastAsia" w:ascii="仿宋_GB2312" w:hAnsi="仿宋_GB2312" w:eastAsia="仿宋_GB2312" w:cs="仿宋_GB2312"/>
          <w:szCs w:val="32"/>
          <w:highlight w:val="none"/>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（二）存在下列违法违规违约行为之一的企业及其控股股东，不得参与竞买上述地块：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5、至报名日止仍拖欠政府地价款的;</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6、被列入问题楼盘开发企业黑名单的;</w:t>
      </w:r>
    </w:p>
    <w:p>
      <w:pPr>
        <w:keepNext w:val="0"/>
        <w:keepLines w:val="0"/>
        <w:pageBreakBefore w:val="0"/>
        <w:kinsoku/>
        <w:wordWrap/>
        <w:overflowPunct/>
        <w:topLinePunct w:val="0"/>
        <w:autoSpaceDE/>
        <w:autoSpaceDN/>
        <w:bidi w:val="0"/>
        <w:spacing w:line="640" w:lineRule="atLeast"/>
        <w:ind w:firstLine="627" w:firstLineChars="196"/>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7、购地资金超过“三道红线”，存在重大失信行为的</w:t>
      </w:r>
      <w:r>
        <w:rPr>
          <w:rFonts w:hint="eastAsia" w:ascii="仿宋_GB2312" w:hAnsi="仿宋_GB2312" w:eastAsia="仿宋_GB2312" w:cs="仿宋_GB2312"/>
          <w:color w:val="auto"/>
          <w:kern w:val="2"/>
          <w:sz w:val="32"/>
          <w:szCs w:val="32"/>
          <w:highlight w:val="none"/>
        </w:rPr>
        <w:t>；</w:t>
      </w:r>
    </w:p>
    <w:p>
      <w:pPr>
        <w:pStyle w:val="3"/>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存在其它被禁止竞买土地行为的</w:t>
      </w:r>
      <w:r>
        <w:rPr>
          <w:rFonts w:hint="eastAsia" w:ascii="仿宋_GB2312" w:hAnsi="仿宋_GB2312" w:eastAsia="仿宋_GB2312" w:cs="仿宋_GB231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、本次国有建设用地使用权网上挂牌竞价达到74060万元时，转为采取摇号方式确定竞得人。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、本次网上挂牌出让的详细资料和具体要求，见惠州市公共资源交易中心土地与矿业网上挂牌交易系统（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、申请人应当在网上挂牌出让结束前</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rPr>
        <w:t>惠州市公共资源交易中心土地与矿业网上挂牌交易系统并在系统上向惠州市公共资源交易中心提交竞买申请并支付保证金。网上挂牌保证金到账截止时间为</w:t>
      </w:r>
      <w:r>
        <w:rPr>
          <w:rFonts w:hint="eastAsia" w:ascii="仿宋_GB2312" w:hAnsi="仿宋_GB2312" w:eastAsia="仿宋_GB2312" w:cs="仿宋_GB2312"/>
          <w:sz w:val="32"/>
          <w:szCs w:val="32"/>
          <w:highlight w:val="none"/>
          <w:lang w:val="en-US" w:eastAsia="zh-CN"/>
        </w:rPr>
        <w:t>2022年1月29日上</w:t>
      </w:r>
      <w:r>
        <w:rPr>
          <w:rFonts w:hint="eastAsia" w:ascii="仿宋_GB2312" w:hAnsi="仿宋_GB2312" w:eastAsia="仿宋_GB2312" w:cs="仿宋_GB2312"/>
          <w:sz w:val="32"/>
          <w:szCs w:val="32"/>
          <w:highlight w:val="none"/>
        </w:rPr>
        <w:t>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时止</w:t>
      </w:r>
      <w:r>
        <w:rPr>
          <w:rFonts w:hint="eastAsia" w:ascii="仿宋_GB2312" w:hAnsi="仿宋_GB2312" w:eastAsia="仿宋_GB2312" w:cs="仿宋_GB2312"/>
          <w:sz w:val="32"/>
          <w:szCs w:val="32"/>
          <w:highlight w:val="none"/>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w:t>
      </w:r>
      <w:r>
        <w:rPr>
          <w:rFonts w:hint="eastAsia" w:ascii="仿宋_GB2312" w:hAnsi="仿宋_GB2312" w:eastAsia="仿宋_GB2312" w:cs="仿宋_GB2312"/>
          <w:sz w:val="32"/>
          <w:szCs w:val="32"/>
          <w:highlight w:val="none"/>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、其它需要公告的事项</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（一）竞得地块开发企业办理住宅预售许可前，应申请销售价格备案，单套毛坯住房销售单价不得高于18242元/㎡。</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（二）开发投资总额不少于96800万元（含地价,不含地价溢价部分）。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（四）该地属政府储备地，没有法律经济纠纷，具备动工开发所必须的基本条件。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（五）竞得人须按《规划设计条件告知书》（案卷编号：PB20210078）要求配建相关配套设施。</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竞得人须配建总建筑面积不低于5390㎡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国有建设用地使用权出让合同》。</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LJL-47-27</w:t>
      </w:r>
      <w:r>
        <w:rPr>
          <w:rFonts w:hint="eastAsia" w:ascii="仿宋_GB2312" w:hAnsi="仿宋_GB2312" w:eastAsia="仿宋_GB2312" w:cs="仿宋_GB2312"/>
          <w:color w:val="auto"/>
          <w:sz w:val="32"/>
          <w:szCs w:val="32"/>
          <w:highlight w:val="none"/>
        </w:rPr>
        <w:t>地块幼儿园用地同步划拨给惠城区教育局，由取得</w:t>
      </w:r>
      <w:r>
        <w:rPr>
          <w:rFonts w:hint="eastAsia" w:ascii="仿宋_GB2312" w:hAnsi="仿宋_GB2312" w:eastAsia="仿宋_GB2312" w:cs="仿宋_GB2312"/>
          <w:color w:val="auto"/>
          <w:sz w:val="32"/>
          <w:szCs w:val="32"/>
          <w:highlight w:val="none"/>
          <w:lang w:eastAsia="zh-CN"/>
        </w:rPr>
        <w:t>LJL-47-28</w:t>
      </w:r>
      <w:r>
        <w:rPr>
          <w:rFonts w:hint="eastAsia" w:ascii="仿宋_GB2312" w:hAnsi="仿宋_GB2312" w:eastAsia="仿宋_GB2312" w:cs="仿宋_GB2312"/>
          <w:color w:val="auto"/>
          <w:sz w:val="32"/>
          <w:szCs w:val="32"/>
          <w:highlight w:val="none"/>
        </w:rPr>
        <w:t>地块的土地使用权者按照规划要求和惠城区教育局提出的建设标准完成配套幼儿园建设并无偿移交惠城区教育局。</w:t>
      </w:r>
      <w:r>
        <w:rPr>
          <w:rFonts w:hint="eastAsia" w:ascii="仿宋_GB2312" w:hAnsi="仿宋_GB2312" w:eastAsia="仿宋_GB2312" w:cs="仿宋_GB2312"/>
          <w:color w:val="auto"/>
          <w:sz w:val="32"/>
          <w:szCs w:val="32"/>
          <w:highlight w:val="none"/>
          <w:lang w:eastAsia="zh-CN"/>
        </w:rPr>
        <w:t>LJL-47-27</w:t>
      </w:r>
      <w:r>
        <w:rPr>
          <w:rFonts w:hint="eastAsia" w:ascii="仿宋_GB2312" w:hAnsi="仿宋_GB2312" w:eastAsia="仿宋_GB2312" w:cs="仿宋_GB2312"/>
          <w:color w:val="auto"/>
          <w:sz w:val="32"/>
          <w:szCs w:val="32"/>
          <w:highlight w:val="none"/>
        </w:rPr>
        <w:t>地块和</w:t>
      </w:r>
      <w:r>
        <w:rPr>
          <w:rFonts w:hint="eastAsia" w:ascii="仿宋_GB2312" w:hAnsi="仿宋_GB2312" w:eastAsia="仿宋_GB2312" w:cs="仿宋_GB2312"/>
          <w:color w:val="auto"/>
          <w:sz w:val="32"/>
          <w:szCs w:val="32"/>
          <w:highlight w:val="none"/>
          <w:lang w:eastAsia="zh-CN"/>
        </w:rPr>
        <w:t>LJL-47-28</w:t>
      </w:r>
      <w:r>
        <w:rPr>
          <w:rFonts w:hint="eastAsia" w:ascii="仿宋_GB2312" w:hAnsi="仿宋_GB2312" w:eastAsia="仿宋_GB2312" w:cs="仿宋_GB2312"/>
          <w:color w:val="auto"/>
          <w:sz w:val="32"/>
          <w:szCs w:val="32"/>
          <w:highlight w:val="none"/>
        </w:rPr>
        <w:t>地块应同步规划设计、同步建设、同步验收交付使用，如</w:t>
      </w:r>
      <w:r>
        <w:rPr>
          <w:rFonts w:hint="eastAsia" w:ascii="仿宋_GB2312" w:hAnsi="仿宋_GB2312" w:eastAsia="仿宋_GB2312" w:cs="仿宋_GB2312"/>
          <w:color w:val="auto"/>
          <w:sz w:val="32"/>
          <w:szCs w:val="32"/>
          <w:highlight w:val="none"/>
          <w:lang w:eastAsia="zh-CN"/>
        </w:rPr>
        <w:t>LJL-47-28</w:t>
      </w:r>
      <w:r>
        <w:rPr>
          <w:rFonts w:hint="eastAsia" w:ascii="仿宋_GB2312" w:hAnsi="仿宋_GB2312" w:eastAsia="仿宋_GB2312" w:cs="仿宋_GB2312"/>
          <w:color w:val="auto"/>
          <w:sz w:val="32"/>
          <w:szCs w:val="32"/>
          <w:highlight w:val="none"/>
        </w:rPr>
        <w:t>分期建设，该幼儿园应纳入首期工程。</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（八）取得</w:t>
      </w:r>
      <w:r>
        <w:rPr>
          <w:rFonts w:hint="eastAsia" w:ascii="仿宋_GB2312" w:hAnsi="仿宋_GB2312" w:eastAsia="仿宋_GB2312" w:cs="仿宋_GB2312"/>
          <w:color w:val="auto"/>
          <w:sz w:val="32"/>
          <w:szCs w:val="32"/>
          <w:highlight w:val="none"/>
          <w:lang w:eastAsia="zh-CN"/>
        </w:rPr>
        <w:t>LJL-47-28</w:t>
      </w:r>
      <w:r>
        <w:rPr>
          <w:rFonts w:hint="eastAsia" w:ascii="仿宋_GB2312" w:hAnsi="仿宋_GB2312" w:eastAsia="仿宋_GB2312" w:cs="仿宋_GB2312"/>
          <w:color w:val="auto"/>
          <w:sz w:val="32"/>
          <w:szCs w:val="32"/>
          <w:highlight w:val="none"/>
        </w:rPr>
        <w:t>地块的土地使用权者须按规划要求及相关规范承担规划二路和规划三路（包括雨水管、污水管、电力电缆沟和通信管群）的建设，建成后无偿移交政府相关部门。</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w:t>
      </w:r>
      <w:r>
        <w:rPr>
          <w:rFonts w:hint="eastAsia" w:ascii="仿宋_GB2312" w:hAnsi="仿宋_GB2312" w:eastAsia="仿宋_GB2312" w:cs="仿宋_GB2312"/>
          <w:color w:val="auto"/>
          <w:sz w:val="32"/>
          <w:szCs w:val="32"/>
          <w:highlight w:val="none"/>
          <w:lang w:eastAsia="zh-CN"/>
        </w:rPr>
        <w:t>LJL-47-27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LJL-47-28</w:t>
      </w:r>
      <w:r>
        <w:rPr>
          <w:rFonts w:hint="eastAsia" w:ascii="仿宋_GB2312" w:hAnsi="仿宋_GB2312" w:eastAsia="仿宋_GB2312" w:cs="仿宋_GB2312"/>
          <w:color w:val="auto"/>
          <w:sz w:val="32"/>
          <w:szCs w:val="32"/>
          <w:highlight w:val="none"/>
        </w:rPr>
        <w:t>地块涉及的现状10KV架空线须由取得</w:t>
      </w:r>
      <w:r>
        <w:rPr>
          <w:rFonts w:hint="eastAsia" w:ascii="仿宋_GB2312" w:hAnsi="仿宋_GB2312" w:eastAsia="仿宋_GB2312" w:cs="仿宋_GB2312"/>
          <w:color w:val="auto"/>
          <w:sz w:val="32"/>
          <w:szCs w:val="32"/>
          <w:highlight w:val="none"/>
          <w:lang w:eastAsia="zh-CN"/>
        </w:rPr>
        <w:t>LJL-47-28</w:t>
      </w:r>
      <w:r>
        <w:rPr>
          <w:rFonts w:hint="eastAsia" w:ascii="仿宋_GB2312" w:hAnsi="仿宋_GB2312" w:eastAsia="仿宋_GB2312" w:cs="仿宋_GB2312"/>
          <w:color w:val="auto"/>
          <w:sz w:val="32"/>
          <w:szCs w:val="32"/>
          <w:highlight w:val="none"/>
        </w:rPr>
        <w:t>地块土地使用者按供电部门要求负责迁移。</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（十）竞得人在用地红线内开发建设必须符合城市规划要求，必须按《规划设计条件告知书》（案卷编号：PB20210078）规划控制指标要求及有关规定进行规划设计</w:t>
      </w:r>
      <w:r>
        <w:rPr>
          <w:rFonts w:hint="eastAsia" w:ascii="仿宋_GB2312" w:hAnsi="仿宋_GB2312" w:eastAsia="仿宋_GB2312" w:cs="仿宋_GB2312"/>
          <w:kern w:val="2"/>
          <w:sz w:val="32"/>
          <w:szCs w:val="32"/>
          <w:highlight w:val="none"/>
          <w:lang w:val="en-US" w:eastAsia="zh-CN" w:bidi="ar-SA"/>
        </w:rPr>
        <w:t>。</w:t>
      </w:r>
    </w:p>
    <w:p>
      <w:pPr>
        <w:pStyle w:val="6"/>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（十一）竞得人有下列行为之一的，取消竞得人资格，竞买保证金不予退还,并由有关部门依法处理;造成损失的，竞得人还应依法承担赔偿责任：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1、不符合竞买资格条件的；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3、竞得人以其他非法手段竞得的；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）挂牌出让价款不含应由竞得人缴纳的契税、印花税等有关费用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联系方式：</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（一）惠州市自然资源局</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联系地址：惠州市江北三新南路7号</w:t>
      </w:r>
    </w:p>
    <w:p>
      <w:pPr>
        <w:spacing w:line="520" w:lineRule="exact"/>
        <w:ind w:right="64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王</w:t>
      </w:r>
      <w:r>
        <w:rPr>
          <w:rFonts w:hint="eastAsia" w:ascii="仿宋_GB2312" w:hAnsi="仿宋_GB2312" w:eastAsia="仿宋_GB2312" w:cs="仿宋_GB2312"/>
          <w:color w:val="auto"/>
          <w:sz w:val="32"/>
          <w:szCs w:val="32"/>
          <w:highlight w:val="none"/>
        </w:rPr>
        <w:t>工</w:t>
      </w:r>
    </w:p>
    <w:p>
      <w:pPr>
        <w:spacing w:line="520" w:lineRule="exact"/>
        <w:ind w:right="64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联系电话：（0752）2896313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联系地址：广东省惠州市惠城区三新北路31号市民服务中心3号楼一楼108室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color w:val="auto"/>
          <w:kern w:val="2"/>
          <w:sz w:val="32"/>
          <w:szCs w:val="32"/>
          <w:highlight w:val="none"/>
          <w:lang w:val="en-US" w:eastAsia="zh-CN" w:bidi="ar-SA"/>
        </w:rPr>
        <w:t>袁</w:t>
      </w:r>
      <w:r>
        <w:rPr>
          <w:rFonts w:hint="eastAsia" w:ascii="仿宋_GB2312" w:hAnsi="仿宋_GB2312" w:eastAsia="仿宋_GB2312" w:cs="仿宋_GB2312"/>
          <w:color w:val="auto"/>
          <w:sz w:val="32"/>
          <w:szCs w:val="32"/>
          <w:highlight w:val="none"/>
        </w:rPr>
        <w:t>工</w:t>
      </w:r>
      <w:r>
        <w:rPr>
          <w:rFonts w:hint="eastAsia" w:ascii="仿宋_GB2312" w:hAnsi="仿宋_GB2312" w:eastAsia="仿宋_GB2312" w:cs="仿宋_GB2312"/>
          <w:color w:val="auto"/>
          <w:kern w:val="2"/>
          <w:sz w:val="32"/>
          <w:szCs w:val="32"/>
          <w:highlight w:val="none"/>
          <w:lang w:val="en-US" w:eastAsia="zh-CN" w:bidi="ar-SA"/>
        </w:rPr>
        <w:t>、杨</w:t>
      </w:r>
      <w:r>
        <w:rPr>
          <w:rFonts w:hint="eastAsia" w:ascii="仿宋_GB2312" w:hAnsi="仿宋_GB2312" w:eastAsia="仿宋_GB2312" w:cs="仿宋_GB2312"/>
          <w:color w:val="auto"/>
          <w:sz w:val="32"/>
          <w:szCs w:val="32"/>
          <w:highlight w:val="none"/>
        </w:rPr>
        <w:t>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注：本公告同时在下列网站及场所发布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"http://zyjy.huizhou.gov.cn"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http://zyjy.huizhou.gov.cn</w:t>
      </w:r>
      <w:r>
        <w:rPr>
          <w:rFonts w:hint="eastAsia" w:ascii="仿宋_GB2312" w:hAnsi="仿宋_GB2312" w:eastAsia="仿宋_GB2312" w:cs="仿宋_GB2312"/>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696969"/>
          <w:sz w:val="32"/>
          <w:szCs w:val="32"/>
          <w:highlight w:val="none"/>
        </w:rPr>
      </w:pPr>
      <w:r>
        <w:rPr>
          <w:rFonts w:hint="eastAsia" w:ascii="仿宋_GB2312" w:hAnsi="仿宋_GB2312" w:eastAsia="仿宋_GB2312" w:cs="仿宋_GB2312"/>
          <w:sz w:val="32"/>
          <w:szCs w:val="32"/>
          <w:highlight w:val="none"/>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罗工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2021年12月27日</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附表</w:t>
      </w:r>
    </w:p>
    <w:p>
      <w:pPr>
        <w:tabs>
          <w:tab w:val="left" w:pos="9720"/>
        </w:tabs>
        <w:spacing w:line="360" w:lineRule="auto"/>
        <w:jc w:val="center"/>
        <w:rPr>
          <w:rFonts w:hint="default" w:ascii="Times New Roman" w:hAnsi="Times New Roman" w:eastAsia="方正小标宋_GBK" w:cs="Times New Roman"/>
          <w:b/>
          <w:sz w:val="36"/>
          <w:szCs w:val="36"/>
          <w:highlight w:val="none"/>
        </w:rPr>
      </w:pPr>
      <w:r>
        <w:rPr>
          <w:rFonts w:hint="default" w:ascii="Times New Roman" w:hAnsi="Times New Roman" w:eastAsia="方正小标宋_GBK" w:cs="Times New Roman"/>
          <w:b/>
          <w:sz w:val="36"/>
          <w:szCs w:val="36"/>
          <w:highlight w:val="none"/>
        </w:rPr>
        <w:t>网上挂牌出让地块规划建设指标</w:t>
      </w:r>
    </w:p>
    <w:tbl>
      <w:tblPr>
        <w:tblStyle w:val="9"/>
        <w:tblpPr w:leftFromText="180" w:rightFromText="180" w:vertAnchor="text" w:tblpXSpec="center" w:tblpY="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08"/>
        <w:gridCol w:w="668"/>
        <w:gridCol w:w="473"/>
        <w:gridCol w:w="1004"/>
        <w:gridCol w:w="1005"/>
        <w:gridCol w:w="772"/>
        <w:gridCol w:w="645"/>
        <w:gridCol w:w="1088"/>
        <w:gridCol w:w="945"/>
        <w:gridCol w:w="986"/>
        <w:gridCol w:w="74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02"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挂牌地块编号</w:t>
            </w:r>
          </w:p>
        </w:tc>
        <w:tc>
          <w:tcPr>
            <w:tcW w:w="608"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位置</w:t>
            </w:r>
          </w:p>
        </w:tc>
        <w:tc>
          <w:tcPr>
            <w:tcW w:w="668"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用地</w:t>
            </w:r>
            <w:r>
              <w:rPr>
                <w:rFonts w:hint="default" w:ascii="Times New Roman" w:hAnsi="Times New Roman" w:eastAsia="仿宋_GB2312" w:cs="Times New Roman"/>
                <w:b/>
                <w:bCs/>
                <w:szCs w:val="21"/>
              </w:rPr>
              <w:t>编号</w:t>
            </w:r>
          </w:p>
        </w:tc>
        <w:tc>
          <w:tcPr>
            <w:tcW w:w="473"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用途</w:t>
            </w:r>
          </w:p>
        </w:tc>
        <w:tc>
          <w:tcPr>
            <w:tcW w:w="7186" w:type="dxa"/>
            <w:gridSpan w:val="8"/>
            <w:vAlign w:val="center"/>
          </w:tcPr>
          <w:p>
            <w:pPr>
              <w:adjustRightInd w:val="0"/>
              <w:snapToGrid w:val="0"/>
              <w:spacing w:line="320" w:lineRule="exact"/>
              <w:ind w:left="1" w:leftChars="-89" w:hanging="188" w:hangingChars="89"/>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规划指标要求</w:t>
            </w:r>
          </w:p>
        </w:tc>
        <w:tc>
          <w:tcPr>
            <w:tcW w:w="677"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702"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0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6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473"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1004"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计算指标用地面积</w:t>
            </w:r>
          </w:p>
        </w:tc>
        <w:tc>
          <w:tcPr>
            <w:tcW w:w="1005" w:type="dxa"/>
            <w:vAlign w:val="center"/>
          </w:tcPr>
          <w:p>
            <w:pPr>
              <w:autoSpaceDE w:val="0"/>
              <w:autoSpaceDN w:val="0"/>
              <w:adjustRightInd w:val="0"/>
              <w:spacing w:line="240" w:lineRule="exact"/>
              <w:jc w:val="center"/>
              <w:rPr>
                <w:rFonts w:hint="default" w:ascii="Times New Roman" w:hAnsi="Times New Roman" w:cs="Times New Roman"/>
                <w:b/>
                <w:bCs/>
                <w:szCs w:val="21"/>
              </w:rPr>
            </w:pPr>
            <w:r>
              <w:rPr>
                <w:rFonts w:hint="default" w:ascii="Times New Roman" w:hAnsi="Times New Roman" w:eastAsia="仿宋_GB2312" w:cs="Times New Roman"/>
                <w:b/>
                <w:bCs/>
                <w:szCs w:val="21"/>
              </w:rPr>
              <w:t>宗地使用权面积</w:t>
            </w:r>
          </w:p>
        </w:tc>
        <w:tc>
          <w:tcPr>
            <w:tcW w:w="772"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建筑密度</w:t>
            </w:r>
          </w:p>
        </w:tc>
        <w:tc>
          <w:tcPr>
            <w:tcW w:w="645"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容积率</w:t>
            </w:r>
          </w:p>
        </w:tc>
        <w:tc>
          <w:tcPr>
            <w:tcW w:w="1088"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计容积率建筑面积</w:t>
            </w:r>
          </w:p>
        </w:tc>
        <w:tc>
          <w:tcPr>
            <w:tcW w:w="945" w:type="dxa"/>
            <w:vAlign w:val="center"/>
          </w:tcPr>
          <w:p>
            <w:pPr>
              <w:autoSpaceDE w:val="0"/>
              <w:autoSpaceDN w:val="0"/>
              <w:adjustRightInd w:val="0"/>
              <w:spacing w:line="240" w:lineRule="exact"/>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绿地率</w:t>
            </w:r>
          </w:p>
        </w:tc>
        <w:tc>
          <w:tcPr>
            <w:tcW w:w="986" w:type="dxa"/>
            <w:vAlign w:val="center"/>
          </w:tcPr>
          <w:p>
            <w:pPr>
              <w:autoSpaceDE w:val="0"/>
              <w:autoSpaceDN w:val="0"/>
              <w:adjustRightInd w:val="0"/>
              <w:spacing w:line="240" w:lineRule="exact"/>
              <w:jc w:val="center"/>
              <w:rPr>
                <w:rFonts w:hint="default" w:ascii="Times New Roman" w:hAnsi="Times New Roman" w:eastAsia="宋体" w:cs="Times New Roman"/>
                <w:b/>
                <w:bCs/>
                <w:szCs w:val="21"/>
                <w:lang w:eastAsia="zh-CN"/>
              </w:rPr>
            </w:pPr>
            <w:r>
              <w:rPr>
                <w:rFonts w:hint="default" w:ascii="Times New Roman" w:hAnsi="Times New Roman" w:eastAsia="仿宋_GB2312" w:cs="Times New Roman"/>
                <w:b/>
                <w:szCs w:val="21"/>
                <w:lang w:eastAsia="zh-CN"/>
              </w:rPr>
              <w:t>机动车停车位（个）</w:t>
            </w:r>
          </w:p>
        </w:tc>
        <w:tc>
          <w:tcPr>
            <w:tcW w:w="741"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szCs w:val="21"/>
              </w:rPr>
              <w:t>适建性</w:t>
            </w:r>
          </w:p>
        </w:tc>
        <w:tc>
          <w:tcPr>
            <w:tcW w:w="677" w:type="dxa"/>
            <w:vAlign w:val="center"/>
          </w:tcPr>
          <w:p>
            <w:pPr>
              <w:autoSpaceDE w:val="0"/>
              <w:autoSpaceDN w:val="0"/>
              <w:adjustRightInd w:val="0"/>
              <w:spacing w:line="240" w:lineRule="exact"/>
              <w:jc w:val="both"/>
              <w:rPr>
                <w:rFonts w:hint="default" w:ascii="Times New Roman" w:hAnsi="Times New Roman" w:eastAsia="仿宋_GB2312" w:cs="Times New Roman"/>
                <w:b/>
                <w:bCs/>
                <w:lang w:val="en-US" w:eastAsia="zh-CN"/>
              </w:rPr>
            </w:pPr>
            <w:r>
              <w:rPr>
                <w:rFonts w:hint="eastAsia" w:eastAsia="仿宋_GB2312" w:cs="Times New Roman"/>
                <w:b/>
                <w:bCs/>
                <w:lang w:val="en-US" w:eastAsia="zh-CN"/>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702" w:type="dxa"/>
            <w:tcMar>
              <w:left w:w="0" w:type="dxa"/>
              <w:right w:w="0" w:type="dxa"/>
            </w:tcMar>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GP2021</w:t>
            </w:r>
          </w:p>
          <w:p>
            <w:pPr>
              <w:spacing w:line="300" w:lineRule="exac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w:t>
            </w:r>
            <w:bookmarkStart w:id="0" w:name="_GoBack"/>
            <w:bookmarkEnd w:id="0"/>
            <w:r>
              <w:rPr>
                <w:rFonts w:hint="eastAsia" w:ascii="仿宋_GB2312" w:hAnsi="仿宋_GB2312" w:eastAsia="仿宋_GB2312" w:cs="仿宋_GB2312"/>
                <w:szCs w:val="21"/>
                <w:highlight w:val="none"/>
                <w:lang w:val="en-US" w:eastAsia="zh-CN"/>
              </w:rPr>
              <w:t>54</w:t>
            </w:r>
          </w:p>
        </w:tc>
        <w:tc>
          <w:tcPr>
            <w:tcW w:w="608"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惠州市惠城区鹿江沥南岸LJL-47-28地块</w:t>
            </w:r>
          </w:p>
        </w:tc>
        <w:tc>
          <w:tcPr>
            <w:tcW w:w="668"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LJL-47-28</w:t>
            </w:r>
          </w:p>
        </w:tc>
        <w:tc>
          <w:tcPr>
            <w:tcW w:w="473" w:type="dxa"/>
            <w:tcMar>
              <w:left w:w="0" w:type="dxa"/>
              <w:right w:w="0" w:type="dxa"/>
            </w:tcMar>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eastAsia="zh-CN"/>
              </w:rPr>
              <w:t>城镇住宅及商</w:t>
            </w:r>
            <w:r>
              <w:rPr>
                <w:rFonts w:hint="eastAsia" w:ascii="仿宋_GB2312" w:hAnsi="仿宋_GB2312" w:eastAsia="仿宋_GB2312" w:cs="仿宋_GB2312"/>
                <w:color w:val="000000"/>
                <w:szCs w:val="21"/>
                <w:lang w:val="en-US" w:eastAsia="zh-CN"/>
              </w:rPr>
              <w:t>服</w:t>
            </w:r>
            <w:r>
              <w:rPr>
                <w:rFonts w:hint="eastAsia" w:ascii="仿宋_GB2312" w:hAnsi="仿宋_GB2312" w:eastAsia="仿宋_GB2312" w:cs="仿宋_GB2312"/>
                <w:color w:val="000000"/>
                <w:szCs w:val="21"/>
                <w:lang w:eastAsia="zh-CN"/>
              </w:rPr>
              <w:t>用地</w:t>
            </w:r>
          </w:p>
        </w:tc>
        <w:tc>
          <w:tcPr>
            <w:tcW w:w="1004"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37171.61㎡</w:t>
            </w:r>
          </w:p>
        </w:tc>
        <w:tc>
          <w:tcPr>
            <w:tcW w:w="1005"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32418.39㎡</w:t>
            </w:r>
          </w:p>
        </w:tc>
        <w:tc>
          <w:tcPr>
            <w:tcW w:w="772"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≤22%</w:t>
            </w:r>
          </w:p>
        </w:tc>
        <w:tc>
          <w:tcPr>
            <w:tcW w:w="645"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≤2.9</w:t>
            </w:r>
          </w:p>
        </w:tc>
        <w:tc>
          <w:tcPr>
            <w:tcW w:w="1088"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≤107799</w:t>
            </w:r>
            <w:r>
              <w:rPr>
                <w:rFonts w:hint="eastAsia" w:ascii="仿宋_GB2312" w:hAnsi="仿宋_GB2312" w:eastAsia="仿宋_GB2312" w:cs="仿宋_GB2312"/>
                <w:color w:val="000000"/>
                <w:szCs w:val="21"/>
                <w:lang w:eastAsia="zh-CN"/>
              </w:rPr>
              <w:t>㎡（其中商业建筑面积</w:t>
            </w:r>
            <w:r>
              <w:rPr>
                <w:rFonts w:hint="eastAsia" w:ascii="仿宋_GB2312" w:hAnsi="仿宋_GB2312" w:eastAsia="仿宋_GB2312" w:cs="仿宋_GB2312"/>
                <w:color w:val="000000"/>
                <w:szCs w:val="21"/>
                <w:lang w:val="en-US" w:eastAsia="zh-CN"/>
              </w:rPr>
              <w:t>的比例≤5%</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配套</w:t>
            </w:r>
            <w:r>
              <w:rPr>
                <w:rFonts w:hint="eastAsia" w:ascii="仿宋_GB2312" w:hAnsi="仿宋_GB2312" w:eastAsia="仿宋_GB2312" w:cs="仿宋_GB2312"/>
                <w:color w:val="000000"/>
                <w:szCs w:val="21"/>
                <w:lang w:eastAsia="zh-CN"/>
              </w:rPr>
              <w:t>设施建筑面积</w:t>
            </w:r>
            <w:r>
              <w:rPr>
                <w:rFonts w:hint="eastAsia" w:ascii="仿宋_GB2312" w:hAnsi="仿宋_GB2312" w:eastAsia="仿宋_GB2312" w:cs="仿宋_GB2312"/>
                <w:color w:val="000000"/>
                <w:szCs w:val="21"/>
                <w:lang w:val="en-US" w:eastAsia="zh-CN"/>
              </w:rPr>
              <w:t>＞630㎡</w:t>
            </w:r>
            <w:r>
              <w:rPr>
                <w:rFonts w:hint="eastAsia" w:ascii="仿宋_GB2312" w:hAnsi="仿宋_GB2312" w:eastAsia="仿宋_GB2312" w:cs="仿宋_GB2312"/>
                <w:color w:val="000000"/>
                <w:szCs w:val="21"/>
                <w:lang w:eastAsia="zh-CN"/>
              </w:rPr>
              <w:t>）</w:t>
            </w:r>
          </w:p>
        </w:tc>
        <w:tc>
          <w:tcPr>
            <w:tcW w:w="945"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≥35</w:t>
            </w:r>
            <w:r>
              <w:rPr>
                <w:rFonts w:hint="eastAsia" w:ascii="仿宋_GB2312" w:hAnsi="仿宋_GB2312" w:eastAsia="仿宋_GB2312" w:cs="仿宋_GB2312"/>
                <w:color w:val="000000"/>
                <w:szCs w:val="21"/>
                <w:lang w:eastAsia="zh-CN"/>
              </w:rPr>
              <w:t>%</w:t>
            </w:r>
          </w:p>
        </w:tc>
        <w:tc>
          <w:tcPr>
            <w:tcW w:w="986"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eastAsia="zh-CN"/>
              </w:rPr>
              <w:t>每100㎡计容积率建筑面积</w:t>
            </w:r>
            <w:r>
              <w:rPr>
                <w:rFonts w:hint="eastAsia" w:ascii="仿宋_GB2312" w:hAnsi="仿宋_GB2312" w:eastAsia="仿宋_GB2312" w:cs="仿宋_GB2312"/>
                <w:color w:val="000000"/>
                <w:szCs w:val="21"/>
                <w:lang w:val="en-US" w:eastAsia="zh-CN"/>
              </w:rPr>
              <w:t>≥</w:t>
            </w:r>
            <w:r>
              <w:rPr>
                <w:rFonts w:hint="eastAsia" w:ascii="仿宋_GB2312" w:hAnsi="仿宋_GB2312" w:eastAsia="仿宋_GB2312" w:cs="仿宋_GB2312"/>
                <w:color w:val="000000"/>
                <w:szCs w:val="21"/>
                <w:lang w:eastAsia="zh-CN"/>
              </w:rPr>
              <w:t>1个</w:t>
            </w:r>
          </w:p>
        </w:tc>
        <w:tc>
          <w:tcPr>
            <w:tcW w:w="741"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val="en-US" w:eastAsia="zh-CN"/>
              </w:rPr>
              <w:t>住宅</w:t>
            </w:r>
            <w:r>
              <w:rPr>
                <w:rFonts w:hint="eastAsia" w:ascii="仿宋_GB2312" w:hAnsi="仿宋_GB2312" w:eastAsia="仿宋_GB2312" w:cs="仿宋_GB2312"/>
                <w:color w:val="000000"/>
                <w:szCs w:val="21"/>
                <w:lang w:eastAsia="zh-CN"/>
              </w:rPr>
              <w:t>、商业及配套设施</w:t>
            </w:r>
          </w:p>
        </w:tc>
        <w:tc>
          <w:tcPr>
            <w:tcW w:w="677" w:type="dxa"/>
            <w:vAlign w:val="center"/>
          </w:tcPr>
          <w:p>
            <w:pPr>
              <w:spacing w:line="30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color w:val="000000"/>
                <w:szCs w:val="21"/>
                <w:lang w:eastAsia="zh-CN"/>
              </w:rPr>
              <w:t>城镇住宅用地</w:t>
            </w:r>
            <w:r>
              <w:rPr>
                <w:rFonts w:hint="eastAsia" w:ascii="仿宋_GB2312" w:hAnsi="仿宋_GB2312" w:eastAsia="仿宋_GB2312" w:cs="仿宋_GB2312"/>
                <w:color w:val="000000"/>
                <w:szCs w:val="21"/>
                <w:lang w:val="en-US" w:eastAsia="zh-CN"/>
              </w:rPr>
              <w:t>7</w:t>
            </w:r>
            <w:r>
              <w:rPr>
                <w:rFonts w:hint="eastAsia" w:ascii="仿宋_GB2312" w:hAnsi="仿宋_GB2312" w:eastAsia="仿宋_GB2312" w:cs="仿宋_GB2312"/>
                <w:color w:val="000000"/>
                <w:szCs w:val="21"/>
                <w:lang w:eastAsia="zh-CN"/>
              </w:rPr>
              <w:t>0年、商服用地40年</w:t>
            </w:r>
          </w:p>
        </w:tc>
      </w:tr>
    </w:tbl>
    <w:p>
      <w:pPr>
        <w:tabs>
          <w:tab w:val="left" w:pos="11340"/>
        </w:tabs>
        <w:spacing w:line="600" w:lineRule="exact"/>
        <w:rPr>
          <w:rFonts w:hint="default" w:ascii="Times New Roman" w:hAnsi="Times New Roman" w:eastAsia="仿宋_GB2312" w:cs="Times New Roman"/>
          <w:sz w:val="32"/>
          <w:szCs w:val="32"/>
          <w:highlight w:val="none"/>
        </w:rPr>
      </w:pPr>
    </w:p>
    <w:p>
      <w:pPr>
        <w:rPr>
          <w:rFonts w:hint="default" w:ascii="Times New Roman" w:hAnsi="Times New Roman" w:cs="Times New Roman"/>
          <w:highlight w:val="none"/>
        </w:rPr>
      </w:pPr>
    </w:p>
    <w:p>
      <w:pPr>
        <w:spacing w:line="360" w:lineRule="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6368B3"/>
    <w:rsid w:val="04687A90"/>
    <w:rsid w:val="047C6F5A"/>
    <w:rsid w:val="069C76D6"/>
    <w:rsid w:val="07386886"/>
    <w:rsid w:val="07895069"/>
    <w:rsid w:val="07CF5BB3"/>
    <w:rsid w:val="07E97CE1"/>
    <w:rsid w:val="082B1937"/>
    <w:rsid w:val="09AD4D28"/>
    <w:rsid w:val="09B41FDD"/>
    <w:rsid w:val="09EF4B5F"/>
    <w:rsid w:val="0B78752F"/>
    <w:rsid w:val="0B7A084A"/>
    <w:rsid w:val="0D167AC3"/>
    <w:rsid w:val="0D430223"/>
    <w:rsid w:val="0DF23899"/>
    <w:rsid w:val="0E177AE2"/>
    <w:rsid w:val="0E7A65F6"/>
    <w:rsid w:val="101D3BC2"/>
    <w:rsid w:val="10BD4DFA"/>
    <w:rsid w:val="137618AF"/>
    <w:rsid w:val="13D50F1B"/>
    <w:rsid w:val="161D2710"/>
    <w:rsid w:val="167673A1"/>
    <w:rsid w:val="16AA6FD1"/>
    <w:rsid w:val="16D56AAC"/>
    <w:rsid w:val="172121EB"/>
    <w:rsid w:val="17AA0480"/>
    <w:rsid w:val="17D36568"/>
    <w:rsid w:val="17F82A54"/>
    <w:rsid w:val="182A781E"/>
    <w:rsid w:val="188D227F"/>
    <w:rsid w:val="192F711A"/>
    <w:rsid w:val="1A0B2C56"/>
    <w:rsid w:val="1AA5305E"/>
    <w:rsid w:val="1ADB0E54"/>
    <w:rsid w:val="1B9E531A"/>
    <w:rsid w:val="1C5904D7"/>
    <w:rsid w:val="1CD57BAD"/>
    <w:rsid w:val="1D7069CD"/>
    <w:rsid w:val="1DE30B94"/>
    <w:rsid w:val="1E862B6D"/>
    <w:rsid w:val="1F7C2358"/>
    <w:rsid w:val="1FB07F91"/>
    <w:rsid w:val="20ED2229"/>
    <w:rsid w:val="210A61AB"/>
    <w:rsid w:val="217817B2"/>
    <w:rsid w:val="22890C8D"/>
    <w:rsid w:val="23A027B1"/>
    <w:rsid w:val="24E51F89"/>
    <w:rsid w:val="25251515"/>
    <w:rsid w:val="27A65DB8"/>
    <w:rsid w:val="28774868"/>
    <w:rsid w:val="28C60AA0"/>
    <w:rsid w:val="2A6B42FA"/>
    <w:rsid w:val="2A870225"/>
    <w:rsid w:val="2AAC048C"/>
    <w:rsid w:val="2B5D4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3FF04DBA"/>
    <w:rsid w:val="40231E47"/>
    <w:rsid w:val="40363F40"/>
    <w:rsid w:val="409256E4"/>
    <w:rsid w:val="409E7D83"/>
    <w:rsid w:val="40B33D72"/>
    <w:rsid w:val="411B39E1"/>
    <w:rsid w:val="414E681A"/>
    <w:rsid w:val="42CE6157"/>
    <w:rsid w:val="4333178A"/>
    <w:rsid w:val="43706132"/>
    <w:rsid w:val="44966F93"/>
    <w:rsid w:val="45C047BF"/>
    <w:rsid w:val="47AF3E70"/>
    <w:rsid w:val="495B6193"/>
    <w:rsid w:val="4A1228DB"/>
    <w:rsid w:val="4A1B1ECC"/>
    <w:rsid w:val="4AE74DD0"/>
    <w:rsid w:val="4C2E14D5"/>
    <w:rsid w:val="4C956C10"/>
    <w:rsid w:val="4CFF14D6"/>
    <w:rsid w:val="4D1610A1"/>
    <w:rsid w:val="4DF35994"/>
    <w:rsid w:val="4EC91786"/>
    <w:rsid w:val="4F861E18"/>
    <w:rsid w:val="512A0AC6"/>
    <w:rsid w:val="538C505C"/>
    <w:rsid w:val="540106D5"/>
    <w:rsid w:val="546946EF"/>
    <w:rsid w:val="565101CA"/>
    <w:rsid w:val="567F481B"/>
    <w:rsid w:val="5787561C"/>
    <w:rsid w:val="578E459E"/>
    <w:rsid w:val="57A3234F"/>
    <w:rsid w:val="57C844D5"/>
    <w:rsid w:val="57EA41E9"/>
    <w:rsid w:val="594D206E"/>
    <w:rsid w:val="596A13D8"/>
    <w:rsid w:val="5A893EB0"/>
    <w:rsid w:val="5AF873B7"/>
    <w:rsid w:val="5D241B5A"/>
    <w:rsid w:val="5D471E01"/>
    <w:rsid w:val="5E3B0440"/>
    <w:rsid w:val="606821F3"/>
    <w:rsid w:val="60AD2817"/>
    <w:rsid w:val="623F28DB"/>
    <w:rsid w:val="63AA2C72"/>
    <w:rsid w:val="63CE4A87"/>
    <w:rsid w:val="64D925C4"/>
    <w:rsid w:val="64E467ED"/>
    <w:rsid w:val="65651799"/>
    <w:rsid w:val="669A56E0"/>
    <w:rsid w:val="68527CA2"/>
    <w:rsid w:val="692A6240"/>
    <w:rsid w:val="6B6E278B"/>
    <w:rsid w:val="6BE509C5"/>
    <w:rsid w:val="6C72571A"/>
    <w:rsid w:val="6E0C0E77"/>
    <w:rsid w:val="6EB83079"/>
    <w:rsid w:val="6EC11C99"/>
    <w:rsid w:val="6ED476F5"/>
    <w:rsid w:val="6F3F769A"/>
    <w:rsid w:val="6F4B3B48"/>
    <w:rsid w:val="6FF0551C"/>
    <w:rsid w:val="700A52E4"/>
    <w:rsid w:val="700B25B1"/>
    <w:rsid w:val="727D44B4"/>
    <w:rsid w:val="728D40FC"/>
    <w:rsid w:val="7291218D"/>
    <w:rsid w:val="736D1677"/>
    <w:rsid w:val="73BE7EBD"/>
    <w:rsid w:val="73F22758"/>
    <w:rsid w:val="748840AA"/>
    <w:rsid w:val="761352C3"/>
    <w:rsid w:val="765425FB"/>
    <w:rsid w:val="7774343F"/>
    <w:rsid w:val="77DD303C"/>
    <w:rsid w:val="782A0826"/>
    <w:rsid w:val="787C1591"/>
    <w:rsid w:val="79E82C45"/>
    <w:rsid w:val="7AD36021"/>
    <w:rsid w:val="7B832F79"/>
    <w:rsid w:val="7D060077"/>
    <w:rsid w:val="7E592347"/>
    <w:rsid w:val="7F252698"/>
    <w:rsid w:val="7F6B30B2"/>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2021-12-27T04:47:00Z</cp:lastPrinted>
  <dcterms:modified xsi:type="dcterms:W3CDTF">2021-12-27T09:50:44Z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