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highlight w:val="none"/>
          <w:lang w:val="en-US" w:eastAsia="zh-CN"/>
        </w:rPr>
        <w:t>035</w:t>
      </w:r>
      <w:bookmarkStart w:id="0" w:name="_GoBack"/>
      <w:bookmarkEnd w:id="0"/>
      <w:r>
        <w:rPr>
          <w:rFonts w:hint="eastAsia" w:ascii="仿宋_GB2312" w:eastAsia="仿宋_GB2312"/>
          <w:sz w:val="32"/>
          <w:szCs w:val="32"/>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eastAsia="仿宋_GB2312"/>
          <w:sz w:val="32"/>
          <w:szCs w:val="32"/>
          <w:highlight w:val="none"/>
          <w:lang w:val="en-US" w:eastAsia="zh-CN"/>
        </w:rPr>
        <w:t>惠州市人民政府</w:t>
      </w:r>
      <w:r>
        <w:rPr>
          <w:rFonts w:hint="eastAsia" w:ascii="仿宋_GB2312" w:hAnsi="仿宋_GB2312" w:eastAsia="仿宋_GB2312" w:cs="仿宋_GB2312"/>
          <w:sz w:val="32"/>
          <w:szCs w:val="32"/>
          <w:highlight w:val="none"/>
        </w:rPr>
        <w:t>批准，</w:t>
      </w:r>
      <w:r>
        <w:rPr>
          <w:rFonts w:hint="eastAsia" w:ascii="仿宋_GB2312" w:eastAsia="仿宋_GB2312"/>
          <w:sz w:val="32"/>
          <w:szCs w:val="32"/>
          <w:highlight w:val="none"/>
          <w:lang w:val="en-US" w:eastAsia="zh-CN"/>
        </w:rPr>
        <w:t>惠州市自然资源局</w:t>
      </w:r>
      <w:r>
        <w:rPr>
          <w:rFonts w:hint="eastAsia" w:ascii="仿宋_GB2312" w:hAnsi="仿宋_GB2312" w:eastAsia="仿宋_GB2312" w:cs="仿宋_GB2312"/>
          <w:sz w:val="32"/>
          <w:szCs w:val="32"/>
          <w:highlight w:val="none"/>
        </w:rPr>
        <w:t>决定以网上挂牌方式出让</w:t>
      </w:r>
      <w:r>
        <w:rPr>
          <w:rFonts w:hint="eastAsia" w:ascii="仿宋_GB2312" w:hAnsi="仿宋_GB2312" w:eastAsia="仿宋_GB2312" w:cs="仿宋_GB2312"/>
          <w:sz w:val="32"/>
          <w:szCs w:val="32"/>
        </w:rPr>
        <w:t>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highlight w:val="none"/>
        </w:rPr>
        <w:t>网上挂牌竞买时间为</w:t>
      </w:r>
      <w:r>
        <w:rPr>
          <w:rFonts w:hint="eastAsia" w:ascii="仿宋_GB2312" w:eastAsia="仿宋_GB2312"/>
          <w:sz w:val="32"/>
          <w:szCs w:val="32"/>
          <w:highlight w:val="none"/>
          <w:lang w:val="en-US" w:eastAsia="zh-CN"/>
        </w:rPr>
        <w:t>2021年10月19日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时至</w:t>
      </w:r>
      <w:r>
        <w:rPr>
          <w:rFonts w:hint="eastAsia" w:ascii="仿宋_GB2312" w:eastAsia="仿宋_GB2312"/>
          <w:sz w:val="32"/>
          <w:szCs w:val="32"/>
          <w:highlight w:val="none"/>
          <w:lang w:val="en-US" w:eastAsia="zh-CN"/>
        </w:rPr>
        <w:t>2021年11月2日</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挂牌起始价为人民币80000万元,每次报价加价幅度为人民币1000万元的整数倍</w:t>
      </w:r>
      <w:r>
        <w:rPr>
          <w:rFonts w:hint="eastAsia" w:ascii="仿宋_GB2312" w:hAnsi="仿宋_GB2312" w:eastAsia="仿宋_GB2312" w:cs="仿宋_GB2312"/>
          <w:sz w:val="32"/>
          <w:szCs w:val="32"/>
        </w:rPr>
        <w:t>。</w:t>
      </w:r>
    </w:p>
    <w:p>
      <w:pPr>
        <w:spacing w:line="520" w:lineRule="exact"/>
        <w:ind w:firstLine="720" w:firstLineChars="22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竞买资格及要求</w:t>
      </w:r>
    </w:p>
    <w:p>
      <w:pPr>
        <w:spacing w:line="520" w:lineRule="exact"/>
        <w:ind w:firstLine="720" w:firstLineChars="225"/>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rPr>
        <w:t>中华人民共和国境内外的法人和其他组织（除法律法规另有规定外）均可申请参加竞买，但竞买申请人需具备房地产开发资质，网上挂牌交易结束后提交《房地产企业开发资质证书》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且同一企业及控股公司只允许一家企业参与竞买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rPr>
        <w:t>申请企业可以单独申请，也可以联合申请</w:t>
      </w:r>
      <w:r>
        <w:rPr>
          <w:rFonts w:hint="default" w:ascii="Times New Roman" w:hAnsi="Times New Roman" w:eastAsia="仿宋_GB2312" w:cs="Times New Roman"/>
          <w:sz w:val="32"/>
          <w:szCs w:val="32"/>
        </w:rPr>
        <w:t>：</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1</w:t>
      </w:r>
      <w:r>
        <w:rPr>
          <w:rFonts w:hint="eastAsia" w:ascii="Times New Roman" w:hAnsi="Times New Roman" w:cs="Times New Roman"/>
          <w:szCs w:val="32"/>
          <w:lang w:val="en-US" w:eastAsia="zh-CN"/>
        </w:rPr>
        <w:t>、</w:t>
      </w:r>
      <w:r>
        <w:rPr>
          <w:rFonts w:hint="default" w:ascii="Times New Roman" w:hAnsi="Times New Roman" w:eastAsia="仿宋_GB2312" w:cs="Times New Roman"/>
          <w:kern w:val="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w:t>
      </w:r>
      <w:r>
        <w:rPr>
          <w:rFonts w:hint="default" w:ascii="Times New Roman" w:hAnsi="Times New Roman" w:cs="Times New Roman"/>
          <w:kern w:val="2"/>
          <w:sz w:val="32"/>
          <w:szCs w:val="32"/>
          <w:lang w:val="en-US" w:eastAsia="zh-CN"/>
        </w:rPr>
        <w:t>补充</w:t>
      </w:r>
      <w:r>
        <w:rPr>
          <w:rFonts w:hint="default" w:ascii="Times New Roman" w:hAnsi="Times New Roman" w:eastAsia="仿宋_GB2312" w:cs="Times New Roman"/>
          <w:kern w:val="2"/>
          <w:sz w:val="32"/>
          <w:szCs w:val="32"/>
          <w:lang w:val="en-US" w:eastAsia="zh-CN"/>
        </w:rPr>
        <w:t>条款</w:t>
      </w:r>
      <w:r>
        <w:rPr>
          <w:rFonts w:hint="default" w:ascii="Times New Roman" w:hAnsi="Times New Roman" w:eastAsia="仿宋_GB2312" w:cs="Times New Roman"/>
          <w:kern w:val="2"/>
          <w:sz w:val="32"/>
          <w:szCs w:val="32"/>
        </w:rPr>
        <w:t>；也可按约定直接与新公司签订《出让合同》</w:t>
      </w:r>
      <w:r>
        <w:rPr>
          <w:rFonts w:hint="default" w:ascii="Times New Roman" w:hAnsi="Times New Roman" w:cs="Times New Roman"/>
          <w:szCs w:val="32"/>
        </w:rPr>
        <w:t>。</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w:t>
      </w:r>
      <w:r>
        <w:rPr>
          <w:rFonts w:hint="default" w:ascii="Times New Roman" w:hAnsi="Times New Roman" w:cs="Times New Roman"/>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w:t>
      </w:r>
      <w:r>
        <w:rPr>
          <w:rFonts w:hint="default" w:ascii="Times New Roman" w:hAnsi="Times New Roman" w:cs="Times New Roman"/>
          <w:szCs w:val="32"/>
          <w:lang w:val="en-US" w:eastAsia="zh-CN"/>
        </w:rPr>
        <w:t>补充条款</w:t>
      </w:r>
      <w:r>
        <w:rPr>
          <w:rFonts w:hint="default" w:ascii="Times New Roman" w:hAnsi="Times New Roman" w:cs="Times New Roman"/>
          <w:szCs w:val="32"/>
        </w:rPr>
        <w:t>；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二</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highlight w:val="none"/>
        </w:rPr>
        <w:t>竞买申请</w:t>
      </w:r>
      <w:r>
        <w:rPr>
          <w:rFonts w:hint="default" w:ascii="Times New Roman" w:hAnsi="Times New Roman" w:eastAsia="仿宋_GB2312" w:cs="Times New Roman"/>
          <w:kern w:val="2"/>
          <w:sz w:val="32"/>
          <w:szCs w:val="32"/>
          <w:highlight w:val="none"/>
          <w:lang w:val="en-US" w:eastAsia="zh-CN"/>
        </w:rPr>
        <w:t>人</w:t>
      </w:r>
      <w:r>
        <w:rPr>
          <w:rFonts w:hint="default" w:ascii="Times New Roman" w:hAnsi="Times New Roman" w:eastAsia="仿宋_GB2312" w:cs="Times New Roman"/>
          <w:kern w:val="2"/>
          <w:sz w:val="32"/>
          <w:szCs w:val="32"/>
          <w:highlight w:val="none"/>
        </w:rPr>
        <w:t>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w:t>
      </w:r>
      <w:r>
        <w:rPr>
          <w:rFonts w:hint="eastAsia" w:ascii="Times New Roman" w:hAnsi="Times New Roman" w:cs="Times New Roman"/>
          <w:kern w:val="2"/>
          <w:sz w:val="32"/>
          <w:szCs w:val="32"/>
          <w:highlight w:val="none"/>
          <w:lang w:eastAsia="zh-CN"/>
        </w:rPr>
        <w:t>，网上挂牌交易结束后</w:t>
      </w:r>
      <w:r>
        <w:rPr>
          <w:rFonts w:hint="default" w:ascii="Times New Roman" w:hAnsi="Times New Roman" w:eastAsia="仿宋_GB2312" w:cs="Times New Roman"/>
          <w:kern w:val="2"/>
          <w:sz w:val="32"/>
          <w:szCs w:val="32"/>
          <w:highlight w:val="none"/>
        </w:rPr>
        <w:t>提</w:t>
      </w:r>
      <w:r>
        <w:rPr>
          <w:rFonts w:hint="eastAsia" w:ascii="Times New Roman" w:hAnsi="Times New Roman" w:cs="Times New Roman"/>
          <w:kern w:val="2"/>
          <w:sz w:val="32"/>
          <w:szCs w:val="32"/>
          <w:highlight w:val="none"/>
          <w:lang w:eastAsia="zh-CN"/>
        </w:rPr>
        <w:t>交</w:t>
      </w:r>
      <w:r>
        <w:rPr>
          <w:rFonts w:hint="default" w:ascii="Times New Roman" w:hAnsi="Times New Roman" w:eastAsia="仿宋_GB2312" w:cs="Times New Roman"/>
          <w:kern w:val="2"/>
          <w:sz w:val="32"/>
          <w:szCs w:val="32"/>
          <w:highlight w:val="none"/>
        </w:rPr>
        <w:t>相应证明并对上述要求作出承诺</w:t>
      </w:r>
      <w:r>
        <w:rPr>
          <w:rFonts w:hint="default"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default" w:ascii="Times New Roman" w:hAnsi="Times New Roman" w:eastAsia="仿宋_GB2312" w:cs="Times New Roman"/>
          <w:kern w:val="2"/>
          <w:sz w:val="32"/>
          <w:szCs w:val="32"/>
          <w:highlight w:val="none"/>
        </w:rPr>
        <w:t>对于经审查资金来源不符合要求的，根据情况采取取消参与资格竞买、取消竞得资格、解除土地出让合同或收回已出让土地等措施，竞买保证金不予返还，一年内不得在惠州市参加土地竞买</w:t>
      </w:r>
      <w:r>
        <w:rPr>
          <w:rFonts w:hint="eastAsia" w:ascii="Times New Roman" w:hAnsi="Times New Roman" w:cs="Times New Roman"/>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eastAsia="仿宋_GB2312" w:cs="仿宋_GB2312"/>
          <w:szCs w:val="32"/>
          <w:lang w:val="en-US" w:eastAsia="zh-CN"/>
        </w:rPr>
      </w:pPr>
      <w:r>
        <w:rPr>
          <w:rFonts w:hint="eastAsia" w:hAnsi="仿宋_GB2312" w:cs="仿宋_GB2312"/>
          <w:szCs w:val="32"/>
          <w:lang w:val="en-US" w:eastAsia="zh-CN"/>
        </w:rPr>
        <w:t>五</w:t>
      </w:r>
      <w:r>
        <w:rPr>
          <w:rFonts w:hint="eastAsia" w:hAnsi="仿宋_GB2312" w:cs="仿宋_GB2312"/>
          <w:szCs w:val="32"/>
        </w:rPr>
        <w:t>、</w:t>
      </w:r>
      <w:r>
        <w:rPr>
          <w:rFonts w:hint="default" w:ascii="Times New Roman" w:hAnsi="Times New Roman" w:cs="Times New Roman"/>
          <w:szCs w:val="32"/>
        </w:rPr>
        <w:t>该宗地竞买保证金可用人民币及外币（暂限于美元、港币）支付</w:t>
      </w:r>
      <w:r>
        <w:rPr>
          <w:rFonts w:hint="eastAsia" w:ascii="Times New Roman" w:hAnsi="Times New Roman" w:cs="Times New Roman"/>
          <w:szCs w:val="32"/>
          <w:lang w:eastAsia="zh-CN"/>
        </w:rPr>
        <w:t>。</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六</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（一）缴交竞买保证金24000万元人民币，如以外币缴交竞买保证金的，须缴交美元3711万元、港币28857万元</w:t>
      </w:r>
      <w:r>
        <w:rPr>
          <w:rFonts w:hint="eastAsia" w:hAnsi="仿宋_GB2312" w:cs="仿宋_GB2312"/>
          <w:szCs w:val="32"/>
          <w:highlight w:val="none"/>
        </w:rPr>
        <w:t>。</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cs="Times New Roman"/>
          <w:szCs w:val="32"/>
        </w:rPr>
        <w:t>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cs="Times New Roman"/>
          <w:szCs w:val="32"/>
        </w:rPr>
        <w:t>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cs="Times New Roman"/>
          <w:szCs w:val="32"/>
        </w:rPr>
        <w:t>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cs="Times New Roman"/>
          <w:szCs w:val="32"/>
        </w:rPr>
        <w:t>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cs="Times New Roman"/>
          <w:szCs w:val="32"/>
        </w:rPr>
        <w:t>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cs="Times New Roman"/>
          <w:szCs w:val="32"/>
        </w:rPr>
        <w:t>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color w:val="000000"/>
          <w:sz w:val="32"/>
          <w:szCs w:val="32"/>
          <w:lang w:val="en-US" w:eastAsia="zh-CN"/>
        </w:rPr>
        <w:t>购地资金超过“三道红线”，存在重大失信行为的</w:t>
      </w:r>
      <w:r>
        <w:rPr>
          <w:rFonts w:hint="default" w:ascii="Times New Roman" w:hAnsi="Times New Roman" w:eastAsia="仿宋_GB2312" w:cs="Times New Roman"/>
          <w:color w:val="000000"/>
          <w:sz w:val="32"/>
          <w:szCs w:val="32"/>
        </w:rPr>
        <w:t>；</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8</w:t>
      </w:r>
      <w:r>
        <w:rPr>
          <w:rFonts w:hint="default" w:ascii="Times New Roman" w:hAnsi="Times New Roman" w:cs="Times New Roman"/>
          <w:szCs w:val="32"/>
          <w:lang w:val="en-US" w:eastAsia="zh-CN"/>
        </w:rPr>
        <w:t>、</w:t>
      </w:r>
      <w:r>
        <w:rPr>
          <w:rFonts w:hint="default" w:ascii="Times New Roman" w:hAnsi="Times New Roman" w:cs="Times New Roman"/>
          <w:szCs w:val="32"/>
        </w:rPr>
        <w:t>存在其它被禁止竞买土地行为的。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本次国有建设用地使用权网上挂牌</w:t>
      </w:r>
      <w:r>
        <w:rPr>
          <w:rFonts w:hint="default" w:ascii="Times New Roman" w:hAnsi="Times New Roman" w:eastAsia="仿宋_GB2312" w:cs="Times New Roman"/>
          <w:color w:val="auto"/>
          <w:sz w:val="32"/>
          <w:szCs w:val="32"/>
          <w:highlight w:val="none"/>
        </w:rPr>
        <w:t>竞价达到</w:t>
      </w:r>
      <w:r>
        <w:rPr>
          <w:rFonts w:hint="default" w:ascii="Times New Roman" w:hAnsi="Times New Roman" w:eastAsia="仿宋_GB2312" w:cs="Times New Roman"/>
          <w:color w:val="auto"/>
          <w:sz w:val="32"/>
          <w:szCs w:val="32"/>
          <w:highlight w:val="none"/>
          <w:lang w:val="en-US" w:eastAsia="zh-CN"/>
        </w:rPr>
        <w:t>92000</w:t>
      </w:r>
      <w:r>
        <w:rPr>
          <w:rFonts w:hint="default" w:ascii="Times New Roman" w:hAnsi="Times New Roman" w:eastAsia="仿宋_GB2312" w:cs="Times New Roman"/>
          <w:color w:val="auto"/>
          <w:sz w:val="32"/>
          <w:szCs w:val="32"/>
          <w:highlight w:val="none"/>
        </w:rPr>
        <w:t>万元时，</w:t>
      </w:r>
      <w:r>
        <w:rPr>
          <w:rFonts w:hint="default" w:ascii="Times New Roman" w:hAnsi="Times New Roman" w:eastAsia="仿宋_GB2312" w:cs="Times New Roman"/>
          <w:color w:val="auto"/>
          <w:sz w:val="32"/>
          <w:szCs w:val="32"/>
          <w:highlight w:val="none"/>
          <w:lang w:val="en-US" w:eastAsia="zh-CN"/>
        </w:rPr>
        <w:t>转为采取</w:t>
      </w:r>
      <w:r>
        <w:rPr>
          <w:rFonts w:hint="default" w:ascii="Times New Roman" w:hAnsi="Times New Roman" w:eastAsia="仿宋_GB2312" w:cs="Times New Roman"/>
          <w:color w:val="auto"/>
          <w:sz w:val="32"/>
          <w:szCs w:val="32"/>
          <w:highlight w:val="none"/>
        </w:rPr>
        <w:t>摇号方式确定竞得人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、申请人应当在网上挂牌出让结束前</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w:t>
      </w:r>
      <w:r>
        <w:rPr>
          <w:rFonts w:hint="eastAsia" w:ascii="仿宋_GB2312" w:hAnsi="仿宋_GB2312" w:eastAsia="仿宋_GB2312" w:cs="仿宋_GB2312"/>
          <w:sz w:val="32"/>
          <w:szCs w:val="32"/>
          <w:highlight w:val="none"/>
        </w:rPr>
        <w:t>为</w:t>
      </w:r>
      <w:r>
        <w:rPr>
          <w:rFonts w:hint="eastAsia" w:ascii="仿宋_GB2312" w:eastAsia="仿宋_GB2312"/>
          <w:sz w:val="32"/>
          <w:szCs w:val="32"/>
          <w:highlight w:val="none"/>
          <w:lang w:val="en-US" w:eastAsia="zh-CN"/>
        </w:rPr>
        <w:t>2021年11月2日</w:t>
      </w:r>
      <w:r>
        <w:rPr>
          <w:rFonts w:hint="eastAsia" w:ascii="仿宋_GB2312" w:hAnsi="仿宋_GB2312" w:eastAsia="仿宋_GB2312" w:cs="仿宋_GB2312"/>
          <w:sz w:val="32"/>
          <w:szCs w:val="32"/>
          <w:highlight w:val="none"/>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w:t>
      </w:r>
      <w:r>
        <w:rPr>
          <w:rFonts w:hint="default" w:ascii="Times New Roman" w:hAnsi="Times New Roman" w:eastAsia="仿宋_GB2312" w:cs="Times New Roman"/>
          <w:sz w:val="32"/>
          <w:szCs w:val="32"/>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highlight w:val="none"/>
          <w:lang w:val="en-US" w:eastAsia="zh-CN"/>
        </w:rPr>
        <w:t>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w:t>
      </w:r>
      <w:r>
        <w:rPr>
          <w:rFonts w:hint="default" w:ascii="Times New Roman" w:hAnsi="Times New Roman" w:eastAsia="仿宋_GB2312" w:cs="Times New Roman"/>
          <w:sz w:val="32"/>
          <w:szCs w:val="32"/>
        </w:rPr>
        <w:t>余额转作土地成交价款。</w:t>
      </w:r>
    </w:p>
    <w:p>
      <w:pPr>
        <w:keepNext w:val="0"/>
        <w:keepLines w:val="0"/>
        <w:pageBreakBefore w:val="0"/>
        <w:kinsoku/>
        <w:wordWrap/>
        <w:overflowPunct/>
        <w:topLinePunct w:val="0"/>
        <w:bidi w:val="0"/>
        <w:spacing w:line="560" w:lineRule="exact"/>
        <w:ind w:firstLine="55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以外币缴交竞买保证金的，扣除定金后余额部分返回给竞得人，待竞得人按时缴清土地成交价款后，再将定金退还，不计利息。</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、其它需要公告的事项</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（一）该地块所建单套毛坯</w:t>
      </w:r>
      <w:r>
        <w:rPr>
          <w:rFonts w:hint="default" w:ascii="Times New Roman" w:hAnsi="Times New Roman" w:eastAsia="仿宋_GB2312" w:cs="Times New Roman"/>
          <w:color w:val="auto"/>
          <w:sz w:val="32"/>
          <w:szCs w:val="32"/>
          <w:highlight w:val="none"/>
          <w:lang w:val="en-US" w:eastAsia="zh-CN"/>
        </w:rPr>
        <w:t>商品住宅</w:t>
      </w:r>
      <w:r>
        <w:rPr>
          <w:rFonts w:hint="default" w:ascii="Times New Roman" w:hAnsi="Times New Roman" w:eastAsia="仿宋_GB2312" w:cs="Times New Roman"/>
          <w:color w:val="auto"/>
          <w:sz w:val="32"/>
          <w:szCs w:val="32"/>
          <w:highlight w:val="none"/>
        </w:rPr>
        <w:t>销售单价</w:t>
      </w:r>
      <w:r>
        <w:rPr>
          <w:rFonts w:hint="default" w:ascii="Times New Roman" w:hAnsi="Times New Roman" w:eastAsia="仿宋_GB2312" w:cs="Times New Roman"/>
          <w:color w:val="auto"/>
          <w:sz w:val="32"/>
          <w:szCs w:val="32"/>
          <w:highlight w:val="none"/>
          <w:lang w:val="en-US" w:eastAsia="zh-CN"/>
        </w:rPr>
        <w:t>不高于</w:t>
      </w:r>
      <w:r>
        <w:rPr>
          <w:rFonts w:hint="eastAsia" w:ascii="Times New Roman" w:hAnsi="Times New Roman" w:eastAsia="仿宋_GB2312" w:cs="Times New Roman"/>
          <w:color w:val="auto"/>
          <w:sz w:val="32"/>
          <w:szCs w:val="32"/>
          <w:highlight w:val="none"/>
          <w:lang w:val="en-US" w:eastAsia="zh-CN"/>
        </w:rPr>
        <w:t>19000</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rPr>
        <w:t>开发投资总额不少于</w:t>
      </w:r>
      <w:r>
        <w:rPr>
          <w:rFonts w:hint="eastAsia" w:ascii="Times New Roman" w:hAnsi="Times New Roman" w:eastAsia="仿宋_GB2312" w:cs="Times New Roman"/>
          <w:color w:val="auto"/>
          <w:kern w:val="2"/>
          <w:sz w:val="32"/>
          <w:szCs w:val="32"/>
          <w:highlight w:val="none"/>
          <w:lang w:val="en-US" w:eastAsia="zh-CN"/>
        </w:rPr>
        <w:t>118870</w:t>
      </w:r>
      <w:r>
        <w:rPr>
          <w:rFonts w:hint="default" w:ascii="Times New Roman" w:hAnsi="Times New Roman" w:eastAsia="仿宋_GB2312" w:cs="Times New Roman"/>
          <w:sz w:val="32"/>
          <w:szCs w:val="32"/>
        </w:rPr>
        <w:t>万元（含地价,不含地价溢价部分）</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）土地成交价款须以人民币支付,竞得人在签订《出让合同》之日起30日内付清全部成交价款。</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lang w:bidi="ar-SA"/>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kern w:val="2"/>
          <w:sz w:val="32"/>
          <w:szCs w:val="32"/>
          <w:lang w:val="en-US" w:eastAsia="zh-CN" w:bidi="ar-SA"/>
        </w:rPr>
        <w:t>竞得人在用</w:t>
      </w:r>
      <w:r>
        <w:rPr>
          <w:rFonts w:hint="default" w:ascii="Times New Roman" w:hAnsi="Times New Roman" w:eastAsia="仿宋_GB2312" w:cs="Times New Roman"/>
          <w:kern w:val="2"/>
          <w:sz w:val="32"/>
          <w:szCs w:val="32"/>
        </w:rPr>
        <w:t>地红线内开发建设必须符合城市规划要求，必须按《</w:t>
      </w:r>
      <w:r>
        <w:rPr>
          <w:rFonts w:hint="default" w:ascii="Times New Roman" w:hAnsi="Times New Roman" w:eastAsia="仿宋_GB2312" w:cs="Times New Roman"/>
          <w:kern w:val="2"/>
          <w:sz w:val="32"/>
          <w:szCs w:val="32"/>
          <w:lang w:val="en-US" w:eastAsia="zh-CN"/>
        </w:rPr>
        <w:t>规划设计条件</w:t>
      </w:r>
      <w:r>
        <w:rPr>
          <w:rFonts w:hint="default" w:ascii="Times New Roman" w:hAnsi="Times New Roman" w:eastAsia="仿宋_GB2312" w:cs="Times New Roman"/>
          <w:kern w:val="2"/>
          <w:sz w:val="32"/>
          <w:szCs w:val="32"/>
        </w:rPr>
        <w:t>告知书》（案卷编号：</w:t>
      </w:r>
      <w:r>
        <w:rPr>
          <w:rFonts w:hint="default" w:ascii="Times New Roman" w:hAnsi="Times New Roman" w:eastAsia="仿宋_GB2312" w:cs="Times New Roman"/>
          <w:kern w:val="2"/>
          <w:sz w:val="32"/>
          <w:szCs w:val="32"/>
          <w:lang w:eastAsia="zh-CN"/>
        </w:rPr>
        <w:t>PB202</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0</w:t>
      </w:r>
      <w:r>
        <w:rPr>
          <w:rFonts w:hint="default" w:ascii="Times New Roman" w:hAnsi="Times New Roman" w:eastAsia="仿宋_GB2312" w:cs="Times New Roman"/>
          <w:kern w:val="2"/>
          <w:sz w:val="32"/>
          <w:szCs w:val="32"/>
          <w:lang w:val="en-US" w:eastAsia="zh-CN"/>
        </w:rPr>
        <w:t>0</w:t>
      </w:r>
      <w:r>
        <w:rPr>
          <w:rFonts w:hint="eastAsia" w:eastAsia="仿宋_GB2312" w:cs="Times New Roman"/>
          <w:kern w:val="2"/>
          <w:sz w:val="32"/>
          <w:szCs w:val="32"/>
          <w:lang w:val="en-US" w:eastAsia="zh-CN"/>
        </w:rPr>
        <w:t>31</w:t>
      </w:r>
      <w:r>
        <w:rPr>
          <w:rFonts w:hint="default" w:ascii="Times New Roman" w:hAnsi="Times New Roman" w:eastAsia="仿宋_GB2312" w:cs="Times New Roman"/>
          <w:kern w:val="2"/>
          <w:sz w:val="32"/>
          <w:szCs w:val="32"/>
        </w:rPr>
        <w:t>）规划控制指标要求及有关规定进行规划设计</w:t>
      </w:r>
      <w:r>
        <w:rPr>
          <w:rFonts w:hint="eastAsia" w:ascii="仿宋_GB2312" w:eastAsia="仿宋_GB2312" w:cs="仿宋_GB2312"/>
          <w:sz w:val="32"/>
          <w:szCs w:val="32"/>
          <w:lang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highlight w:val="none"/>
          <w:lang w:eastAsia="zh-CN" w:bidi="ar-SA"/>
        </w:rPr>
        <w:t>（</w:t>
      </w:r>
      <w:r>
        <w:rPr>
          <w:rFonts w:hint="eastAsia" w:eastAsia="仿宋_GB2312" w:cs="Times New Roman"/>
          <w:kern w:val="2"/>
          <w:sz w:val="32"/>
          <w:szCs w:val="32"/>
          <w:highlight w:val="none"/>
          <w:lang w:eastAsia="zh-CN" w:bidi="ar-SA"/>
        </w:rPr>
        <w:t>五</w:t>
      </w:r>
      <w:r>
        <w:rPr>
          <w:rFonts w:hint="default" w:ascii="Times New Roman" w:hAnsi="Times New Roman" w:eastAsia="仿宋_GB2312" w:cs="Times New Roman"/>
          <w:kern w:val="2"/>
          <w:sz w:val="32"/>
          <w:szCs w:val="32"/>
          <w:highlight w:val="none"/>
          <w:lang w:eastAsia="zh-CN" w:bidi="ar-SA"/>
        </w:rPr>
        <w:t>）</w:t>
      </w:r>
      <w:r>
        <w:rPr>
          <w:rFonts w:hint="default" w:ascii="Times New Roman" w:hAnsi="Times New Roman" w:eastAsia="仿宋_GB2312" w:cs="Times New Roman"/>
          <w:kern w:val="2"/>
          <w:sz w:val="32"/>
          <w:szCs w:val="32"/>
        </w:rPr>
        <w:t>该地属政府储备地，没有法律经济纠纷，具备动工开发所必须的基本条件</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sz w:val="32"/>
          <w:szCs w:val="32"/>
        </w:rPr>
        <w:t>竞得人须按《</w:t>
      </w:r>
      <w:r>
        <w:rPr>
          <w:rFonts w:hint="default" w:ascii="Times New Roman" w:hAnsi="Times New Roman" w:eastAsia="仿宋_GB2312" w:cs="Times New Roman"/>
          <w:kern w:val="2"/>
          <w:sz w:val="32"/>
          <w:szCs w:val="32"/>
          <w:lang w:val="en-US" w:eastAsia="zh-CN"/>
        </w:rPr>
        <w:t>规划设计条件</w:t>
      </w:r>
      <w:r>
        <w:rPr>
          <w:rFonts w:hint="default" w:ascii="Times New Roman" w:hAnsi="Times New Roman" w:eastAsia="仿宋_GB2312" w:cs="Times New Roman"/>
          <w:kern w:val="2"/>
          <w:sz w:val="32"/>
          <w:szCs w:val="32"/>
        </w:rPr>
        <w:t>告知书</w:t>
      </w:r>
      <w:r>
        <w:rPr>
          <w:rFonts w:hint="default" w:ascii="Times New Roman" w:hAnsi="Times New Roman" w:eastAsia="仿宋_GB2312" w:cs="Times New Roman"/>
          <w:sz w:val="32"/>
          <w:szCs w:val="32"/>
        </w:rPr>
        <w:t>》（案卷编号：</w:t>
      </w:r>
      <w:r>
        <w:rPr>
          <w:rFonts w:hint="default" w:ascii="Times New Roman" w:hAnsi="Times New Roman" w:eastAsia="仿宋_GB2312" w:cs="Times New Roman"/>
          <w:sz w:val="32"/>
          <w:szCs w:val="32"/>
          <w:lang w:eastAsia="zh-CN"/>
        </w:rPr>
        <w:t>PB202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0</w:t>
      </w:r>
      <w:r>
        <w:rPr>
          <w:rFonts w:hint="default" w:ascii="Times New Roman" w:hAnsi="Times New Roman" w:eastAsia="仿宋_GB2312" w:cs="Times New Roman"/>
          <w:sz w:val="32"/>
          <w:szCs w:val="32"/>
          <w:lang w:val="en-US" w:eastAsia="zh-CN"/>
        </w:rPr>
        <w:t>0</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要求配建相关配套设施</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kern w:val="2"/>
          <w:sz w:val="32"/>
          <w:szCs w:val="32"/>
          <w:highlight w:val="none"/>
        </w:rPr>
        <w:t>竞得人须</w:t>
      </w:r>
      <w:r>
        <w:rPr>
          <w:rFonts w:hint="eastAsia" w:ascii="Times New Roman" w:hAnsi="Times New Roman" w:eastAsia="仿宋_GB2312" w:cs="Times New Roman"/>
          <w:color w:val="auto"/>
          <w:kern w:val="2"/>
          <w:sz w:val="32"/>
          <w:szCs w:val="32"/>
          <w:highlight w:val="none"/>
          <w:lang w:eastAsia="zh-CN"/>
        </w:rPr>
        <w:t>按市委组织部出具的《鹿江沥南岸片区</w:t>
      </w:r>
      <w:r>
        <w:rPr>
          <w:rFonts w:hint="eastAsia" w:ascii="Times New Roman" w:hAnsi="Times New Roman" w:eastAsia="仿宋_GB2312" w:cs="Times New Roman"/>
          <w:color w:val="auto"/>
          <w:kern w:val="2"/>
          <w:sz w:val="32"/>
          <w:szCs w:val="32"/>
          <w:highlight w:val="none"/>
          <w:lang w:val="en-US" w:eastAsia="zh-CN"/>
        </w:rPr>
        <w:t>LJL47-24地块配建人才房建设要求》</w:t>
      </w:r>
      <w:r>
        <w:rPr>
          <w:rFonts w:hint="default" w:ascii="Times New Roman" w:hAnsi="Times New Roman" w:eastAsia="仿宋_GB2312" w:cs="Times New Roman"/>
          <w:color w:val="auto"/>
          <w:kern w:val="2"/>
          <w:sz w:val="32"/>
          <w:szCs w:val="32"/>
          <w:highlight w:val="none"/>
        </w:rPr>
        <w:t>配建总建筑面积不低于6500㎡的人才房并无偿移交政府</w:t>
      </w:r>
      <w:r>
        <w:rPr>
          <w:rFonts w:hint="eastAsia" w:ascii="Times New Roman" w:hAnsi="Times New Roman" w:eastAsia="仿宋_GB2312" w:cs="Times New Roman"/>
          <w:color w:val="auto"/>
          <w:kern w:val="2"/>
          <w:sz w:val="32"/>
          <w:szCs w:val="32"/>
          <w:highlight w:val="none"/>
          <w:lang w:eastAsia="zh-CN"/>
        </w:rPr>
        <w:t>，配建人才房建筑面积计入该宗地</w:t>
      </w:r>
      <w:r>
        <w:rPr>
          <w:rFonts w:hint="eastAsia" w:ascii="Times New Roman" w:hAnsi="Times New Roman" w:eastAsia="仿宋_GB2312" w:cs="Times New Roman"/>
          <w:color w:val="auto"/>
          <w:sz w:val="32"/>
          <w:szCs w:val="32"/>
          <w:highlight w:val="none"/>
        </w:rPr>
        <w:t>计算容积率建筑面积</w:t>
      </w:r>
      <w:r>
        <w:rPr>
          <w:rFonts w:hint="eastAsia" w:ascii="Times New Roman" w:hAnsi="Times New Roman" w:eastAsia="仿宋_GB2312" w:cs="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kern w:val="2"/>
          <w:sz w:val="32"/>
          <w:szCs w:val="32"/>
          <w:highlight w:val="none"/>
          <w:lang w:eastAsia="zh-CN"/>
        </w:rPr>
        <w:t>竞得人</w:t>
      </w:r>
      <w:r>
        <w:rPr>
          <w:rFonts w:hint="default" w:ascii="Times New Roman" w:hAnsi="Times New Roman" w:eastAsia="仿宋_GB2312" w:cs="Times New Roman"/>
          <w:color w:val="auto"/>
          <w:kern w:val="2"/>
          <w:sz w:val="32"/>
          <w:szCs w:val="32"/>
          <w:highlight w:val="none"/>
        </w:rPr>
        <w:t>须按规划要求及相关规范承担地块内密路网（包括雨水管、污水管、电力电缆沟和通讯电缆沟）的建设，建成后无偿移交政府相关部门，并将密路网开放给公众使用</w:t>
      </w:r>
      <w:r>
        <w:rPr>
          <w:rFonts w:hint="eastAsia" w:ascii="Times New Roman" w:hAnsi="Times New Roman" w:eastAsia="仿宋_GB2312" w:cs="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kern w:val="2"/>
          <w:sz w:val="32"/>
          <w:szCs w:val="32"/>
          <w:lang w:val="en-US" w:eastAsia="zh-CN"/>
        </w:rPr>
        <w:t>九</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sz w:val="32"/>
          <w:szCs w:val="32"/>
        </w:rPr>
        <w:t>竞得人有下列行为之一的，取消竞得人资格，竞买保证金</w:t>
      </w:r>
      <w:r>
        <w:rPr>
          <w:rFonts w:hint="eastAsia" w:ascii="Times New Roman" w:hAnsi="Times New Roman" w:eastAsia="仿宋_GB2312" w:cs="Times New Roman"/>
          <w:sz w:val="32"/>
          <w:szCs w:val="32"/>
          <w:lang w:val="en-US" w:eastAsia="zh-CN"/>
        </w:rPr>
        <w:t>不予退还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并由有关部门依法处理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地址：</w:t>
      </w:r>
      <w:r>
        <w:rPr>
          <w:rFonts w:hint="default" w:ascii="Times New Roman" w:hAnsi="Times New Roman" w:eastAsia="仿宋_GB2312" w:cs="Times New Roman"/>
          <w:sz w:val="32"/>
          <w:szCs w:val="32"/>
        </w:rPr>
        <w:t>惠州市江北三新南路7号</w:t>
      </w:r>
    </w:p>
    <w:p>
      <w:pPr>
        <w:spacing w:line="520" w:lineRule="exact"/>
        <w:ind w:right="640"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w:t>
      </w:r>
      <w:r>
        <w:rPr>
          <w:rFonts w:hint="eastAsia" w:eastAsia="仿宋_GB2312" w:cs="Times New Roman"/>
          <w:sz w:val="32"/>
          <w:szCs w:val="32"/>
          <w:highlight w:val="none"/>
          <w:lang w:val="en-US" w:eastAsia="zh-CN"/>
        </w:rPr>
        <w:t>黄</w:t>
      </w:r>
      <w:r>
        <w:rPr>
          <w:rFonts w:hint="default" w:ascii="Times New Roman" w:hAnsi="Times New Roman" w:eastAsia="仿宋_GB2312" w:cs="Times New Roman"/>
          <w:sz w:val="32"/>
          <w:szCs w:val="32"/>
          <w:highlight w:val="none"/>
          <w:lang w:val="en-US" w:eastAsia="zh-CN"/>
        </w:rPr>
        <w:t>工</w:t>
      </w:r>
    </w:p>
    <w:p>
      <w:pPr>
        <w:spacing w:line="520" w:lineRule="exact"/>
        <w:ind w:right="64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仿宋_GB2312" w:hAnsi="仿宋_GB2312" w:eastAsia="仿宋_GB2312" w:cs="仿宋_GB2312"/>
          <w:color w:val="auto"/>
          <w:kern w:val="2"/>
          <w:sz w:val="32"/>
          <w:szCs w:val="32"/>
          <w:highlight w:val="none"/>
          <w:lang w:val="en-US" w:eastAsia="zh-CN" w:bidi="ar-SA"/>
        </w:rPr>
        <w:t>（0752）2896313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rPr>
        <w:t>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default"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2021年9月28日</w:t>
      </w:r>
    </w:p>
    <w:p>
      <w:pPr>
        <w:spacing w:line="360" w:lineRule="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附表</w:t>
      </w:r>
    </w:p>
    <w:p>
      <w:pPr>
        <w:tabs>
          <w:tab w:val="left" w:pos="9720"/>
        </w:tabs>
        <w:spacing w:line="360" w:lineRule="auto"/>
        <w:jc w:val="center"/>
        <w:rPr>
          <w:rFonts w:hint="default" w:ascii="Times New Roman" w:hAnsi="Times New Roman" w:eastAsia="方正小标宋_GBK" w:cs="Times New Roman"/>
          <w:b/>
          <w:sz w:val="36"/>
          <w:szCs w:val="36"/>
        </w:rPr>
      </w:pPr>
      <w:r>
        <w:rPr>
          <w:rFonts w:hint="default" w:ascii="Times New Roman" w:hAnsi="Times New Roman" w:eastAsia="方正小标宋_GBK" w:cs="Times New Roman"/>
          <w:b/>
          <w:sz w:val="36"/>
          <w:szCs w:val="36"/>
        </w:rPr>
        <w:t>网上挂牌出让地块规划建设指标</w:t>
      </w:r>
    </w:p>
    <w:tbl>
      <w:tblPr>
        <w:tblStyle w:val="8"/>
        <w:tblpPr w:vertAnchor="text" w:horzAnchor="page" w:tblpXSpec="center" w:tblpY="662"/>
        <w:tblW w:w="9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615"/>
        <w:gridCol w:w="690"/>
        <w:gridCol w:w="560"/>
        <w:gridCol w:w="1004"/>
        <w:gridCol w:w="1005"/>
        <w:gridCol w:w="772"/>
        <w:gridCol w:w="645"/>
        <w:gridCol w:w="1088"/>
        <w:gridCol w:w="794"/>
        <w:gridCol w:w="687"/>
        <w:gridCol w:w="645"/>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586"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挂牌地块编号</w:t>
            </w:r>
          </w:p>
        </w:tc>
        <w:tc>
          <w:tcPr>
            <w:tcW w:w="615"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位置</w:t>
            </w:r>
          </w:p>
        </w:tc>
        <w:tc>
          <w:tcPr>
            <w:tcW w:w="690"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用地</w:t>
            </w:r>
            <w:r>
              <w:rPr>
                <w:rFonts w:hint="default" w:ascii="Times New Roman" w:hAnsi="Times New Roman" w:eastAsia="仿宋_GB2312" w:cs="Times New Roman"/>
                <w:b/>
                <w:bCs/>
                <w:szCs w:val="21"/>
              </w:rPr>
              <w:t>编号</w:t>
            </w:r>
          </w:p>
        </w:tc>
        <w:tc>
          <w:tcPr>
            <w:tcW w:w="560"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用途</w:t>
            </w:r>
          </w:p>
        </w:tc>
        <w:tc>
          <w:tcPr>
            <w:tcW w:w="6640" w:type="dxa"/>
            <w:gridSpan w:val="8"/>
            <w:vAlign w:val="center"/>
          </w:tcPr>
          <w:p>
            <w:pPr>
              <w:adjustRightInd w:val="0"/>
              <w:snapToGrid w:val="0"/>
              <w:spacing w:line="320" w:lineRule="exact"/>
              <w:ind w:left="1" w:leftChars="-89" w:hanging="188" w:hangingChars="89"/>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规划指标要求</w:t>
            </w:r>
          </w:p>
        </w:tc>
        <w:tc>
          <w:tcPr>
            <w:tcW w:w="639"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586"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15"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90"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560"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1004"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计算指标用地面积</w:t>
            </w:r>
          </w:p>
        </w:tc>
        <w:tc>
          <w:tcPr>
            <w:tcW w:w="1005" w:type="dxa"/>
            <w:vAlign w:val="center"/>
          </w:tcPr>
          <w:p>
            <w:pPr>
              <w:autoSpaceDE w:val="0"/>
              <w:autoSpaceDN w:val="0"/>
              <w:adjustRightInd w:val="0"/>
              <w:spacing w:line="240" w:lineRule="exact"/>
              <w:jc w:val="center"/>
              <w:rPr>
                <w:rFonts w:hint="default" w:ascii="Times New Roman" w:hAnsi="Times New Roman" w:cs="Times New Roman"/>
                <w:b/>
                <w:bCs/>
                <w:szCs w:val="21"/>
              </w:rPr>
            </w:pPr>
            <w:r>
              <w:rPr>
                <w:rFonts w:hint="default" w:ascii="Times New Roman" w:hAnsi="Times New Roman" w:eastAsia="仿宋_GB2312" w:cs="Times New Roman"/>
                <w:b/>
                <w:bCs/>
                <w:szCs w:val="21"/>
              </w:rPr>
              <w:t>宗地使用权面积</w:t>
            </w:r>
          </w:p>
        </w:tc>
        <w:tc>
          <w:tcPr>
            <w:tcW w:w="772"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建筑密度</w:t>
            </w:r>
          </w:p>
        </w:tc>
        <w:tc>
          <w:tcPr>
            <w:tcW w:w="645"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容积率</w:t>
            </w:r>
          </w:p>
        </w:tc>
        <w:tc>
          <w:tcPr>
            <w:tcW w:w="1088"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计容积率建筑面积</w:t>
            </w:r>
          </w:p>
        </w:tc>
        <w:tc>
          <w:tcPr>
            <w:tcW w:w="794" w:type="dxa"/>
            <w:vAlign w:val="center"/>
          </w:tcPr>
          <w:p>
            <w:pPr>
              <w:autoSpaceDE w:val="0"/>
              <w:autoSpaceDN w:val="0"/>
              <w:adjustRightInd w:val="0"/>
              <w:spacing w:line="240" w:lineRule="exact"/>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绿地率</w:t>
            </w:r>
          </w:p>
        </w:tc>
        <w:tc>
          <w:tcPr>
            <w:tcW w:w="687" w:type="dxa"/>
            <w:vAlign w:val="center"/>
          </w:tcPr>
          <w:p>
            <w:pPr>
              <w:autoSpaceDE w:val="0"/>
              <w:autoSpaceDN w:val="0"/>
              <w:adjustRightInd w:val="0"/>
              <w:spacing w:line="240" w:lineRule="exact"/>
              <w:jc w:val="center"/>
              <w:rPr>
                <w:rFonts w:hint="default" w:ascii="Times New Roman" w:hAnsi="Times New Roman" w:eastAsia="宋体" w:cs="Times New Roman"/>
                <w:b/>
                <w:bCs/>
                <w:szCs w:val="21"/>
                <w:lang w:eastAsia="zh-CN"/>
              </w:rPr>
            </w:pPr>
            <w:r>
              <w:rPr>
                <w:rFonts w:hint="default" w:ascii="Times New Roman" w:hAnsi="Times New Roman" w:eastAsia="仿宋_GB2312" w:cs="Times New Roman"/>
                <w:b/>
                <w:szCs w:val="21"/>
                <w:lang w:eastAsia="zh-CN"/>
              </w:rPr>
              <w:t>机动车停车位（个）</w:t>
            </w:r>
          </w:p>
        </w:tc>
        <w:tc>
          <w:tcPr>
            <w:tcW w:w="645"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szCs w:val="21"/>
              </w:rPr>
              <w:t>适建性</w:t>
            </w:r>
          </w:p>
        </w:tc>
        <w:tc>
          <w:tcPr>
            <w:tcW w:w="639"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586" w:type="dxa"/>
            <w:tcMar>
              <w:left w:w="0" w:type="dxa"/>
              <w:right w:w="0" w:type="dxa"/>
            </w:tcMar>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eastAsia" w:ascii="仿宋_GB2312" w:hAnsi="仿宋_GB2312" w:eastAsia="仿宋_GB2312" w:cs="仿宋_GB2312"/>
                <w:szCs w:val="21"/>
                <w:lang w:val="en-US" w:eastAsia="zh-CN"/>
              </w:rPr>
              <w:t>GP2021-35</w:t>
            </w:r>
          </w:p>
        </w:tc>
        <w:tc>
          <w:tcPr>
            <w:tcW w:w="615"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eastAsia" w:eastAsia="仿宋_GB2312" w:cs="Times New Roman"/>
                <w:color w:val="000000"/>
                <w:szCs w:val="21"/>
                <w:lang w:val="en-US" w:eastAsia="zh-CN"/>
              </w:rPr>
              <w:t>惠州市惠城区鹿江沥南岸</w:t>
            </w:r>
            <w:r>
              <w:rPr>
                <w:rFonts w:hint="eastAsia" w:eastAsia="仿宋_GB2312" w:cs="Times New Roman"/>
                <w:color w:val="000000"/>
                <w:szCs w:val="21"/>
              </w:rPr>
              <w:t>LJL-47-24地块</w:t>
            </w:r>
          </w:p>
        </w:tc>
        <w:tc>
          <w:tcPr>
            <w:tcW w:w="690"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eastAsia" w:eastAsia="仿宋_GB2312" w:cs="Times New Roman"/>
                <w:color w:val="000000"/>
                <w:szCs w:val="21"/>
                <w:lang w:val="en-US" w:eastAsia="zh-CN"/>
              </w:rPr>
              <w:t>LJL-47-24</w:t>
            </w:r>
          </w:p>
        </w:tc>
        <w:tc>
          <w:tcPr>
            <w:tcW w:w="560" w:type="dxa"/>
            <w:tcMar>
              <w:left w:w="0" w:type="dxa"/>
              <w:right w:w="0" w:type="dxa"/>
            </w:tcMar>
            <w:vAlign w:val="center"/>
          </w:tcPr>
          <w:p>
            <w:pPr>
              <w:spacing w:line="300" w:lineRule="exact"/>
              <w:jc w:val="center"/>
              <w:rPr>
                <w:rFonts w:hint="default"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szCs w:val="21"/>
                <w:lang w:val="en-US" w:eastAsia="zh-CN"/>
              </w:rPr>
              <w:t>城镇</w:t>
            </w:r>
            <w:r>
              <w:rPr>
                <w:rFonts w:hint="default" w:ascii="Times New Roman" w:hAnsi="Times New Roman" w:eastAsia="仿宋_GB2312" w:cs="Times New Roman"/>
                <w:color w:val="000000"/>
                <w:szCs w:val="21"/>
                <w:lang w:eastAsia="zh-CN"/>
              </w:rPr>
              <w:t>住宅及商</w:t>
            </w:r>
            <w:r>
              <w:rPr>
                <w:rFonts w:hint="default" w:ascii="Times New Roman" w:hAnsi="Times New Roman" w:eastAsia="仿宋_GB2312" w:cs="Times New Roman"/>
                <w:color w:val="000000"/>
                <w:szCs w:val="21"/>
                <w:lang w:val="en-US" w:eastAsia="zh-CN"/>
              </w:rPr>
              <w:t>服</w:t>
            </w:r>
            <w:r>
              <w:rPr>
                <w:rFonts w:hint="default" w:ascii="Times New Roman" w:hAnsi="Times New Roman" w:eastAsia="仿宋_GB2312" w:cs="Times New Roman"/>
                <w:color w:val="000000"/>
                <w:szCs w:val="21"/>
                <w:lang w:eastAsia="zh-CN"/>
              </w:rPr>
              <w:t>用地</w:t>
            </w:r>
          </w:p>
        </w:tc>
        <w:tc>
          <w:tcPr>
            <w:tcW w:w="1004"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eastAsia" w:eastAsia="仿宋_GB2312" w:cs="Times New Roman"/>
                <w:color w:val="000000"/>
                <w:szCs w:val="21"/>
                <w:lang w:val="en-US" w:eastAsia="zh-CN"/>
              </w:rPr>
              <w:t>44678.16</w:t>
            </w:r>
            <w:r>
              <w:rPr>
                <w:rFonts w:hint="default" w:ascii="Times New Roman" w:hAnsi="Times New Roman" w:eastAsia="仿宋_GB2312" w:cs="Times New Roman"/>
                <w:color w:val="000000"/>
                <w:szCs w:val="21"/>
                <w:lang w:val="en-US" w:eastAsia="zh-CN"/>
              </w:rPr>
              <w:t>㎡</w:t>
            </w:r>
          </w:p>
        </w:tc>
        <w:tc>
          <w:tcPr>
            <w:tcW w:w="1005"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eastAsia" w:eastAsia="仿宋_GB2312" w:cs="Times New Roman"/>
                <w:color w:val="000000"/>
                <w:szCs w:val="21"/>
                <w:lang w:val="en-US" w:eastAsia="zh-CN"/>
              </w:rPr>
              <w:t>37352.76</w:t>
            </w:r>
            <w:r>
              <w:rPr>
                <w:rFonts w:hint="default" w:ascii="Times New Roman" w:hAnsi="Times New Roman" w:eastAsia="仿宋_GB2312" w:cs="Times New Roman"/>
                <w:color w:val="000000"/>
                <w:szCs w:val="21"/>
                <w:lang w:val="en-US" w:eastAsia="zh-CN"/>
              </w:rPr>
              <w:t>㎡</w:t>
            </w:r>
          </w:p>
        </w:tc>
        <w:tc>
          <w:tcPr>
            <w:tcW w:w="772"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w:t>
            </w:r>
            <w:r>
              <w:rPr>
                <w:rFonts w:hint="eastAsia" w:eastAsia="仿宋_GB2312" w:cs="Times New Roman"/>
                <w:color w:val="000000"/>
                <w:szCs w:val="21"/>
                <w:lang w:val="en-US" w:eastAsia="zh-CN"/>
              </w:rPr>
              <w:t>22%</w:t>
            </w:r>
          </w:p>
        </w:tc>
        <w:tc>
          <w:tcPr>
            <w:tcW w:w="645"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≤2.</w:t>
            </w:r>
            <w:r>
              <w:rPr>
                <w:rFonts w:hint="eastAsia" w:eastAsia="仿宋_GB2312" w:cs="Times New Roman"/>
                <w:color w:val="000000"/>
                <w:szCs w:val="21"/>
                <w:lang w:val="en-US" w:eastAsia="zh-CN"/>
              </w:rPr>
              <w:t>9</w:t>
            </w:r>
          </w:p>
        </w:tc>
        <w:tc>
          <w:tcPr>
            <w:tcW w:w="1088"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w:t>
            </w:r>
            <w:r>
              <w:rPr>
                <w:rFonts w:hint="eastAsia" w:eastAsia="仿宋_GB2312" w:cs="Times New Roman"/>
                <w:color w:val="000000"/>
                <w:szCs w:val="21"/>
                <w:lang w:val="en-US" w:eastAsia="zh-CN"/>
              </w:rPr>
              <w:t>129566</w:t>
            </w:r>
            <w:r>
              <w:rPr>
                <w:rFonts w:hint="default" w:ascii="Times New Roman" w:hAnsi="Times New Roman" w:eastAsia="仿宋_GB2312" w:cs="Times New Roman"/>
                <w:color w:val="000000"/>
                <w:szCs w:val="21"/>
                <w:lang w:eastAsia="zh-CN"/>
              </w:rPr>
              <w:t>㎡（其中商业建筑面积</w:t>
            </w:r>
            <w:r>
              <w:rPr>
                <w:rFonts w:hint="eastAsia" w:eastAsia="仿宋_GB2312" w:cs="Times New Roman"/>
                <w:color w:val="000000"/>
                <w:szCs w:val="21"/>
                <w:lang w:eastAsia="zh-CN"/>
              </w:rPr>
              <w:t>的比例</w:t>
            </w:r>
            <w:r>
              <w:rPr>
                <w:rFonts w:hint="default" w:ascii="Times New Roman" w:hAnsi="Times New Roman" w:eastAsia="仿宋_GB2312" w:cs="Times New Roman"/>
                <w:color w:val="000000"/>
                <w:szCs w:val="21"/>
                <w:lang w:eastAsia="zh-CN"/>
              </w:rPr>
              <w:t>≤</w:t>
            </w:r>
            <w:r>
              <w:rPr>
                <w:rFonts w:hint="eastAsia" w:eastAsia="仿宋_GB2312" w:cs="Times New Roman"/>
                <w:color w:val="000000"/>
                <w:szCs w:val="21"/>
                <w:lang w:val="en-US" w:eastAsia="zh-CN"/>
              </w:rPr>
              <w:t>5%</w:t>
            </w:r>
            <w:r>
              <w:rPr>
                <w:rFonts w:hint="default" w:ascii="Times New Roman" w:hAnsi="Times New Roman" w:eastAsia="仿宋_GB2312" w:cs="Times New Roman"/>
                <w:color w:val="000000"/>
                <w:szCs w:val="21"/>
                <w:lang w:val="en-US" w:eastAsia="zh-CN"/>
              </w:rPr>
              <w:t>，配套</w:t>
            </w:r>
            <w:r>
              <w:rPr>
                <w:rFonts w:hint="default" w:ascii="Times New Roman" w:hAnsi="Times New Roman" w:eastAsia="仿宋_GB2312" w:cs="Times New Roman"/>
                <w:color w:val="000000"/>
                <w:szCs w:val="21"/>
                <w:lang w:eastAsia="zh-CN"/>
              </w:rPr>
              <w:t>设施建筑面积</w:t>
            </w:r>
            <w:r>
              <w:rPr>
                <w:rFonts w:hint="default" w:ascii="Times New Roman" w:hAnsi="Times New Roman" w:eastAsia="仿宋_GB2312" w:cs="Times New Roman"/>
                <w:color w:val="000000"/>
                <w:szCs w:val="21"/>
                <w:lang w:val="en-US" w:eastAsia="zh-CN"/>
              </w:rPr>
              <w:t>＞</w:t>
            </w:r>
            <w:r>
              <w:rPr>
                <w:rFonts w:hint="eastAsia" w:eastAsia="仿宋_GB2312" w:cs="Times New Roman"/>
                <w:color w:val="000000"/>
                <w:szCs w:val="21"/>
                <w:lang w:val="en-US" w:eastAsia="zh-CN"/>
              </w:rPr>
              <w:t>2045</w:t>
            </w:r>
            <w:r>
              <w:rPr>
                <w:rFonts w:hint="default" w:ascii="Times New Roman" w:hAnsi="Times New Roman" w:eastAsia="仿宋_GB2312" w:cs="Times New Roman"/>
                <w:color w:val="000000"/>
                <w:szCs w:val="21"/>
                <w:lang w:val="en-US" w:eastAsia="zh-CN"/>
              </w:rPr>
              <w:t>㎡</w:t>
            </w:r>
            <w:r>
              <w:rPr>
                <w:rFonts w:hint="default" w:ascii="Times New Roman" w:hAnsi="Times New Roman" w:eastAsia="仿宋_GB2312" w:cs="Times New Roman"/>
                <w:color w:val="000000"/>
                <w:szCs w:val="21"/>
                <w:lang w:eastAsia="zh-CN"/>
              </w:rPr>
              <w:t>）</w:t>
            </w:r>
          </w:p>
        </w:tc>
        <w:tc>
          <w:tcPr>
            <w:tcW w:w="794"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≥3</w:t>
            </w:r>
            <w:r>
              <w:rPr>
                <w:rFonts w:hint="eastAsia" w:eastAsia="仿宋_GB2312" w:cs="Times New Roman"/>
                <w:color w:val="000000"/>
                <w:szCs w:val="21"/>
                <w:lang w:val="en-US" w:eastAsia="zh-CN"/>
              </w:rPr>
              <w:t>5</w:t>
            </w:r>
            <w:r>
              <w:rPr>
                <w:rFonts w:hint="default" w:ascii="Times New Roman" w:hAnsi="Times New Roman" w:eastAsia="仿宋_GB2312" w:cs="Times New Roman"/>
                <w:color w:val="000000"/>
                <w:szCs w:val="21"/>
                <w:lang w:eastAsia="zh-CN"/>
              </w:rPr>
              <w:t>%</w:t>
            </w:r>
          </w:p>
        </w:tc>
        <w:tc>
          <w:tcPr>
            <w:tcW w:w="687"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每100㎡计容积率建筑面积≥1个</w:t>
            </w:r>
          </w:p>
        </w:tc>
        <w:tc>
          <w:tcPr>
            <w:tcW w:w="645"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eastAsia" w:eastAsia="仿宋_GB2312" w:cs="Times New Roman"/>
                <w:color w:val="000000"/>
                <w:szCs w:val="21"/>
                <w:lang w:eastAsia="zh-CN"/>
              </w:rPr>
              <w:t>住宅、商业及配套设施</w:t>
            </w:r>
          </w:p>
        </w:tc>
        <w:tc>
          <w:tcPr>
            <w:tcW w:w="639"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城镇住宅用地</w:t>
            </w:r>
            <w:r>
              <w:rPr>
                <w:rFonts w:hint="default" w:ascii="Times New Roman" w:hAnsi="Times New Roman" w:eastAsia="仿宋_GB2312" w:cs="Times New Roman"/>
                <w:color w:val="000000"/>
                <w:szCs w:val="21"/>
                <w:lang w:val="en-US" w:eastAsia="zh-CN"/>
              </w:rPr>
              <w:t>7</w:t>
            </w:r>
            <w:r>
              <w:rPr>
                <w:rFonts w:hint="default" w:ascii="Times New Roman" w:hAnsi="Times New Roman" w:eastAsia="仿宋_GB2312" w:cs="Times New Roman"/>
                <w:color w:val="000000"/>
                <w:szCs w:val="21"/>
                <w:lang w:eastAsia="zh-CN"/>
              </w:rPr>
              <w:t>0年、商服用地40年</w:t>
            </w:r>
          </w:p>
        </w:tc>
      </w:tr>
    </w:tbl>
    <w:p>
      <w:pPr>
        <w:tabs>
          <w:tab w:val="left" w:pos="11340"/>
        </w:tabs>
        <w:spacing w:line="600" w:lineRule="exact"/>
        <w:rPr>
          <w:rFonts w:hint="default" w:ascii="Times New Roman" w:hAnsi="Times New Roman" w:eastAsia="仿宋_GB2312" w:cs="Times New Roman"/>
          <w:sz w:val="32"/>
          <w:szCs w:val="32"/>
        </w:rPr>
      </w:pPr>
    </w:p>
    <w:p>
      <w:pPr>
        <w:rPr>
          <w:rFonts w:hint="default" w:ascii="Times New Roman" w:hAnsi="Times New Roman" w:cs="Times New Roman"/>
        </w:rPr>
      </w:pPr>
    </w:p>
    <w:p>
      <w:pPr>
        <w:spacing w:line="360" w:lineRule="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6368B3"/>
    <w:rsid w:val="047C6F5A"/>
    <w:rsid w:val="069C76D6"/>
    <w:rsid w:val="07386886"/>
    <w:rsid w:val="07895069"/>
    <w:rsid w:val="082B1937"/>
    <w:rsid w:val="09B41FDD"/>
    <w:rsid w:val="0B78752F"/>
    <w:rsid w:val="0D167AC3"/>
    <w:rsid w:val="0D430223"/>
    <w:rsid w:val="0DF23899"/>
    <w:rsid w:val="0E177AE2"/>
    <w:rsid w:val="0E7A65F6"/>
    <w:rsid w:val="101D3BC2"/>
    <w:rsid w:val="10BD4DFA"/>
    <w:rsid w:val="137618AF"/>
    <w:rsid w:val="13D50F1B"/>
    <w:rsid w:val="161D2710"/>
    <w:rsid w:val="167673A1"/>
    <w:rsid w:val="16AA6FD1"/>
    <w:rsid w:val="16D56AAC"/>
    <w:rsid w:val="172121EB"/>
    <w:rsid w:val="17AA0480"/>
    <w:rsid w:val="17D36568"/>
    <w:rsid w:val="188D227F"/>
    <w:rsid w:val="192F711A"/>
    <w:rsid w:val="1A0B2C56"/>
    <w:rsid w:val="1AA5305E"/>
    <w:rsid w:val="1ADB0E54"/>
    <w:rsid w:val="1C5904D7"/>
    <w:rsid w:val="1D7069CD"/>
    <w:rsid w:val="1DE30B94"/>
    <w:rsid w:val="1E862B6D"/>
    <w:rsid w:val="1F7C2358"/>
    <w:rsid w:val="1FB07F91"/>
    <w:rsid w:val="20ED2229"/>
    <w:rsid w:val="217817B2"/>
    <w:rsid w:val="22890C8D"/>
    <w:rsid w:val="23A027B1"/>
    <w:rsid w:val="25251515"/>
    <w:rsid w:val="27A65DB8"/>
    <w:rsid w:val="28774868"/>
    <w:rsid w:val="28C60AA0"/>
    <w:rsid w:val="2A6B42FA"/>
    <w:rsid w:val="2A870225"/>
    <w:rsid w:val="2B5D4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C13026D"/>
    <w:rsid w:val="3C8078D7"/>
    <w:rsid w:val="3DDC60B5"/>
    <w:rsid w:val="40231E47"/>
    <w:rsid w:val="40363F40"/>
    <w:rsid w:val="409256E4"/>
    <w:rsid w:val="409E7D83"/>
    <w:rsid w:val="40B33D72"/>
    <w:rsid w:val="411B39E1"/>
    <w:rsid w:val="414E681A"/>
    <w:rsid w:val="42CE6157"/>
    <w:rsid w:val="43706132"/>
    <w:rsid w:val="44966F93"/>
    <w:rsid w:val="45C047BF"/>
    <w:rsid w:val="4A1228DB"/>
    <w:rsid w:val="4A1B1ECC"/>
    <w:rsid w:val="4AE74DD0"/>
    <w:rsid w:val="4C2E14D5"/>
    <w:rsid w:val="4D1610A1"/>
    <w:rsid w:val="4EC91786"/>
    <w:rsid w:val="4F861E18"/>
    <w:rsid w:val="512A0AC6"/>
    <w:rsid w:val="538C505C"/>
    <w:rsid w:val="540106D5"/>
    <w:rsid w:val="546946EF"/>
    <w:rsid w:val="565101CA"/>
    <w:rsid w:val="567F481B"/>
    <w:rsid w:val="578E459E"/>
    <w:rsid w:val="57A3234F"/>
    <w:rsid w:val="57C844D5"/>
    <w:rsid w:val="57EA41E9"/>
    <w:rsid w:val="594D206E"/>
    <w:rsid w:val="596A13D8"/>
    <w:rsid w:val="5A893EB0"/>
    <w:rsid w:val="5AF873B7"/>
    <w:rsid w:val="5D241B5A"/>
    <w:rsid w:val="5D471E01"/>
    <w:rsid w:val="5E3B0440"/>
    <w:rsid w:val="606821F3"/>
    <w:rsid w:val="623F28DB"/>
    <w:rsid w:val="63AA2C72"/>
    <w:rsid w:val="64D925C4"/>
    <w:rsid w:val="64E467ED"/>
    <w:rsid w:val="65651799"/>
    <w:rsid w:val="68527CA2"/>
    <w:rsid w:val="692A6240"/>
    <w:rsid w:val="6B6E278B"/>
    <w:rsid w:val="6C72571A"/>
    <w:rsid w:val="6EB83079"/>
    <w:rsid w:val="6ED476F5"/>
    <w:rsid w:val="6F3F769A"/>
    <w:rsid w:val="6F4B3B48"/>
    <w:rsid w:val="6FF0551C"/>
    <w:rsid w:val="700A52E4"/>
    <w:rsid w:val="700B25B1"/>
    <w:rsid w:val="727D44B4"/>
    <w:rsid w:val="728D40FC"/>
    <w:rsid w:val="7291218D"/>
    <w:rsid w:val="736D1677"/>
    <w:rsid w:val="73BE7EBD"/>
    <w:rsid w:val="73F22758"/>
    <w:rsid w:val="748840AA"/>
    <w:rsid w:val="761352C3"/>
    <w:rsid w:val="77DD303C"/>
    <w:rsid w:val="782A0826"/>
    <w:rsid w:val="787C1591"/>
    <w:rsid w:val="79E82C45"/>
    <w:rsid w:val="7B832F79"/>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2021-09-28T06:35:00Z</cp:lastPrinted>
  <dcterms:modified xsi:type="dcterms:W3CDTF">2021-09-28T08:18:13Z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