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color w:val="auto"/>
          <w:spacing w:val="3"/>
          <w:sz w:val="44"/>
          <w:szCs w:val="44"/>
        </w:rPr>
      </w:pPr>
    </w:p>
    <w:p>
      <w:pPr>
        <w:tabs>
          <w:tab w:val="left" w:pos="11340"/>
        </w:tabs>
        <w:spacing w:line="520" w:lineRule="exact"/>
        <w:rPr>
          <w:rFonts w:hint="eastAsia" w:ascii="方正小标宋_GBK" w:hAnsi="华文中宋" w:eastAsia="方正小标宋_GBK"/>
          <w:b/>
          <w:bCs/>
          <w:color w:val="auto"/>
          <w:spacing w:val="3"/>
          <w:sz w:val="44"/>
          <w:szCs w:val="44"/>
        </w:rPr>
      </w:pPr>
    </w:p>
    <w:p>
      <w:pPr>
        <w:tabs>
          <w:tab w:val="left" w:pos="11340"/>
        </w:tabs>
        <w:spacing w:line="520" w:lineRule="exact"/>
        <w:rPr>
          <w:rFonts w:hint="eastAsia" w:ascii="方正小标宋_GBK" w:hAnsi="华文中宋" w:eastAsia="方正小标宋_GBK"/>
          <w:b/>
          <w:bCs/>
          <w:color w:val="auto"/>
          <w:spacing w:val="3"/>
          <w:sz w:val="44"/>
          <w:szCs w:val="44"/>
        </w:rPr>
      </w:pPr>
    </w:p>
    <w:p>
      <w:pPr>
        <w:tabs>
          <w:tab w:val="left" w:pos="11340"/>
        </w:tabs>
        <w:spacing w:line="520" w:lineRule="exact"/>
        <w:outlineLvl w:val="0"/>
        <w:rPr>
          <w:rFonts w:hint="eastAsia" w:ascii="方正小标宋_GBK" w:eastAsia="方正小标宋_GBK"/>
          <w:b/>
          <w:bCs/>
          <w:color w:val="auto"/>
          <w:spacing w:val="3"/>
          <w:sz w:val="48"/>
        </w:rPr>
      </w:pPr>
      <w:r>
        <w:rPr>
          <w:rFonts w:hint="eastAsia" w:ascii="方正小标宋_GBK" w:hAnsi="华文中宋" w:eastAsia="方正小标宋_GBK"/>
          <w:b/>
          <w:bCs/>
          <w:color w:val="auto"/>
          <w:spacing w:val="3"/>
          <w:sz w:val="44"/>
          <w:szCs w:val="44"/>
        </w:rPr>
        <w:t>惠州市国有建设用地使用权网上挂牌</w:t>
      </w:r>
      <w:r>
        <w:rPr>
          <w:rFonts w:hint="eastAsia" w:ascii="方正小标宋_GBK" w:hAnsi="华文中宋" w:eastAsia="方正小标宋_GBK"/>
          <w:b/>
          <w:bCs/>
          <w:color w:val="auto"/>
          <w:sz w:val="44"/>
          <w:szCs w:val="44"/>
        </w:rPr>
        <w:t>出让公告</w:t>
      </w:r>
    </w:p>
    <w:p>
      <w:pPr>
        <w:spacing w:line="520" w:lineRule="exact"/>
        <w:ind w:firstLine="640" w:firstLineChars="200"/>
        <w:jc w:val="center"/>
        <w:outlineLvl w:val="0"/>
        <w:rPr>
          <w:rFonts w:hint="eastAsia" w:ascii="仿宋_GB2312" w:eastAsia="仿宋_GB2312"/>
          <w:color w:val="auto"/>
          <w:sz w:val="32"/>
          <w:szCs w:val="32"/>
        </w:rPr>
      </w:pPr>
      <w:r>
        <w:rPr>
          <w:rFonts w:hint="eastAsia" w:ascii="仿宋_GB2312" w:eastAsia="仿宋_GB2312"/>
          <w:color w:val="auto"/>
          <w:sz w:val="32"/>
          <w:szCs w:val="32"/>
        </w:rPr>
        <w:t>惠公易土市直[20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007</w:t>
      </w:r>
      <w:r>
        <w:rPr>
          <w:rFonts w:hint="eastAsia" w:ascii="仿宋_GB2312" w:eastAsia="仿宋_GB2312"/>
          <w:color w:val="auto"/>
          <w:sz w:val="32"/>
          <w:szCs w:val="32"/>
        </w:rPr>
        <w:t>号</w:t>
      </w:r>
    </w:p>
    <w:p>
      <w:pPr>
        <w:spacing w:line="520" w:lineRule="exact"/>
        <w:ind w:firstLine="640" w:firstLineChars="200"/>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根据国土资源部令第39号《招标拍卖挂牌出让国有建设用地使用权规定》和广东省人民政府令第79号《广东省土地使用权交易市场管理规定》的规定，经惠</w:t>
      </w:r>
      <w:r>
        <w:rPr>
          <w:rFonts w:hint="eastAsia" w:ascii="仿宋_GB2312" w:hAnsi="仿宋_GB2312" w:eastAsia="仿宋_GB2312" w:cs="仿宋_GB2312"/>
          <w:color w:val="auto"/>
          <w:sz w:val="32"/>
          <w:szCs w:val="32"/>
          <w:lang w:eastAsia="zh-CN"/>
        </w:rPr>
        <w:t>城区</w:t>
      </w:r>
      <w:r>
        <w:rPr>
          <w:rFonts w:hint="eastAsia" w:ascii="仿宋_GB2312" w:hAnsi="仿宋_GB2312" w:eastAsia="仿宋_GB2312" w:cs="仿宋_GB2312"/>
          <w:color w:val="auto"/>
          <w:sz w:val="32"/>
          <w:szCs w:val="32"/>
        </w:rPr>
        <w:t>人民政府批准，惠州市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二、网上挂牌竞买时间为20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时至20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三、挂牌起始价为人民币</w:t>
      </w:r>
      <w:r>
        <w:rPr>
          <w:rFonts w:hint="eastAsia" w:ascii="仿宋_GB2312" w:hAnsi="仿宋_GB2312" w:eastAsia="仿宋_GB2312" w:cs="仿宋_GB2312"/>
          <w:color w:val="auto"/>
          <w:kern w:val="0"/>
          <w:sz w:val="32"/>
          <w:szCs w:val="32"/>
          <w:lang w:val="en-US" w:eastAsia="zh-CN"/>
        </w:rPr>
        <w:t>7390</w:t>
      </w:r>
      <w:r>
        <w:rPr>
          <w:rFonts w:hint="eastAsia" w:ascii="仿宋_GB2312" w:hAnsi="仿宋_GB2312" w:eastAsia="仿宋_GB2312" w:cs="仿宋_GB2312"/>
          <w:color w:val="auto"/>
          <w:sz w:val="32"/>
          <w:szCs w:val="32"/>
        </w:rPr>
        <w:t>万元,每次报价加价幅度为人民币</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color w:val="auto"/>
          <w:szCs w:val="32"/>
        </w:rPr>
      </w:pPr>
      <w:r>
        <w:rPr>
          <w:rFonts w:hint="eastAsia" w:hAnsi="仿宋_GB2312" w:cs="仿宋_GB2312"/>
          <w:color w:val="auto"/>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color w:val="auto"/>
          <w:lang w:val="en-US" w:eastAsia="zh-CN"/>
        </w:rPr>
        <w:t>（即竞得人必须是新公司的唯一股东）</w:t>
      </w:r>
      <w:r>
        <w:rPr>
          <w:rFonts w:hint="default" w:ascii="Times New Roman" w:hAnsi="Times New Roman"/>
          <w:color w:val="auto"/>
          <w:lang w:val="en-US" w:eastAsia="zh-CN"/>
        </w:rPr>
        <w:t>。</w:t>
      </w:r>
      <w:r>
        <w:rPr>
          <w:rFonts w:hint="eastAsia" w:hAnsi="仿宋_GB2312" w:cs="仿宋_GB2312"/>
          <w:color w:val="auto"/>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auto"/>
          <w:szCs w:val="32"/>
        </w:rPr>
      </w:pPr>
      <w:r>
        <w:rPr>
          <w:rFonts w:hint="eastAsia" w:hAnsi="仿宋_GB2312" w:cs="仿宋_GB2312"/>
          <w:color w:val="auto"/>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color w:val="auto"/>
          <w:szCs w:val="32"/>
        </w:rPr>
      </w:pPr>
      <w:r>
        <w:rPr>
          <w:rFonts w:hint="eastAsia" w:hAnsi="仿宋_GB2312" w:cs="仿宋_GB2312"/>
          <w:color w:val="auto"/>
          <w:szCs w:val="32"/>
          <w:lang w:val="en-US" w:eastAsia="zh-CN"/>
        </w:rPr>
        <w:t>五</w:t>
      </w:r>
      <w:r>
        <w:rPr>
          <w:rFonts w:hint="eastAsia" w:hAnsi="仿宋_GB2312" w:cs="仿宋_GB2312"/>
          <w:color w:val="auto"/>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color w:val="auto"/>
          <w:szCs w:val="32"/>
        </w:rPr>
      </w:pPr>
      <w:r>
        <w:rPr>
          <w:rFonts w:hint="eastAsia" w:hAnsi="仿宋_GB2312" w:cs="仿宋_GB2312"/>
          <w:color w:val="auto"/>
          <w:szCs w:val="32"/>
        </w:rPr>
        <w:t>（一）缴交竞买保证金</w:t>
      </w:r>
      <w:r>
        <w:rPr>
          <w:rFonts w:hint="eastAsia" w:hAnsi="仿宋"/>
          <w:color w:val="auto"/>
          <w:kern w:val="2"/>
          <w:szCs w:val="32"/>
          <w:lang w:val="en-US" w:eastAsia="zh-CN"/>
        </w:rPr>
        <w:t>2217</w:t>
      </w:r>
      <w:r>
        <w:rPr>
          <w:rFonts w:hint="eastAsia" w:hAnsi="仿宋_GB2312" w:cs="仿宋_GB2312"/>
          <w:color w:val="auto"/>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color w:val="auto"/>
          <w:szCs w:val="32"/>
        </w:rPr>
      </w:pPr>
      <w:r>
        <w:rPr>
          <w:rFonts w:hint="eastAsia" w:hAnsi="仿宋_GB2312" w:cs="仿宋_GB2312"/>
          <w:color w:val="auto"/>
          <w:szCs w:val="32"/>
        </w:rPr>
        <w:t>（</w:t>
      </w:r>
      <w:r>
        <w:rPr>
          <w:rFonts w:hint="eastAsia" w:hAnsi="仿宋_GB2312" w:cs="仿宋_GB2312"/>
          <w:color w:val="auto"/>
          <w:szCs w:val="32"/>
          <w:lang w:val="en-US" w:eastAsia="zh-CN"/>
        </w:rPr>
        <w:t>二</w:t>
      </w:r>
      <w:r>
        <w:rPr>
          <w:rFonts w:hint="eastAsia" w:hAnsi="仿宋_GB2312" w:cs="仿宋_GB2312"/>
          <w:color w:val="auto"/>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1、存在伪造公文骗取用地和非法倒卖土地等犯罪行为的；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10" w:afterAutospacing="0" w:line="560" w:lineRule="exact"/>
        <w:ind w:left="0" w:right="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  2、存在非法转让土地使用权等违法行为的；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10" w:afterAutospacing="0" w:line="560" w:lineRule="exact"/>
        <w:ind w:left="0" w:right="0" w:firstLine="640" w:firstLineChars="200"/>
        <w:jc w:val="lef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3、因企业原因造成土地闲置一年以上且至报名日止未处罚完结的；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10" w:afterAutospacing="0" w:line="560" w:lineRule="exact"/>
        <w:ind w:left="0" w:right="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   4、开发建设企业有违背出让合同约定条件开发利用土地情形且至报名日止未处罚完结的；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10" w:afterAutospacing="0" w:line="560" w:lineRule="exact"/>
        <w:ind w:left="0" w:right="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   5、至报名日止仍拖欠政府地价款的。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1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、本次网上挂牌出让的详细资料和具体要求，见惠州市公共资源交易中心土地与矿业网上挂牌交易系统（</w:t>
      </w:r>
      <w:r>
        <w:rPr>
          <w:rFonts w:hint="eastAsia" w:ascii="仿宋_GB2312" w:hAnsi="仿宋_GB2312" w:eastAsia="仿宋_GB2312" w:cs="仿宋_GB2312"/>
          <w:color w:val="auto"/>
          <w:sz w:val="32"/>
          <w:szCs w:val="32"/>
          <w:lang w:val="en-US" w:eastAsia="zh-CN"/>
        </w:rPr>
        <w:t>https://www.hzgtjy.com/</w:t>
      </w:r>
      <w:r>
        <w:rPr>
          <w:rFonts w:hint="eastAsia" w:ascii="仿宋_GB2312" w:hAnsi="仿宋_GB2312" w:eastAsia="仿宋_GB2312" w:cs="仿宋_GB2312"/>
          <w:color w:val="auto"/>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、申请人应当在网上挂牌出让结束前</w:t>
      </w:r>
      <w:r>
        <w:rPr>
          <w:rFonts w:hint="eastAsia" w:ascii="仿宋_GB2312" w:hAnsi="仿宋_GB2312" w:eastAsia="仿宋_GB2312" w:cs="仿宋_GB2312"/>
          <w:color w:val="auto"/>
          <w:sz w:val="32"/>
          <w:szCs w:val="32"/>
          <w:u w:val="none"/>
        </w:rPr>
        <w:t>登</w:t>
      </w:r>
      <w:r>
        <w:rPr>
          <w:rFonts w:hint="eastAsia" w:ascii="仿宋_GB2312" w:hAnsi="仿宋_GB2312" w:eastAsia="仿宋_GB2312" w:cs="仿宋_GB2312"/>
          <w:color w:val="auto"/>
          <w:sz w:val="32"/>
          <w:szCs w:val="32"/>
          <w:u w:val="none"/>
          <w:lang w:eastAsia="zh-CN"/>
        </w:rPr>
        <w:t>录</w:t>
      </w:r>
      <w:r>
        <w:rPr>
          <w:rFonts w:hint="eastAsia" w:ascii="仿宋_GB2312" w:hAnsi="仿宋_GB2312" w:eastAsia="仿宋_GB2312" w:cs="仿宋_GB2312"/>
          <w:color w:val="auto"/>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上</w:t>
      </w:r>
      <w:r>
        <w:rPr>
          <w:rFonts w:hint="eastAsia" w:ascii="仿宋_GB2312" w:hAnsi="仿宋_GB2312" w:eastAsia="仿宋_GB2312" w:cs="仿宋_GB2312"/>
          <w:color w:val="auto"/>
          <w:sz w:val="32"/>
          <w:szCs w:val="32"/>
        </w:rPr>
        <w:t>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网上挂牌系统确定成交后，竞得人缴纳的竞买保证金按成交价的20%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（一）开发投资总额不少于</w:t>
      </w:r>
      <w:r>
        <w:rPr>
          <w:rFonts w:hint="eastAsia" w:ascii="仿宋_GB2312" w:hAnsi="宋体" w:eastAsia="仿宋_GB2312" w:cs="宋体"/>
          <w:color w:val="auto"/>
          <w:kern w:val="0"/>
          <w:sz w:val="32"/>
          <w:szCs w:val="32"/>
          <w:lang w:val="en-US" w:eastAsia="zh-CN"/>
        </w:rPr>
        <w:t>110332.5</w:t>
      </w:r>
      <w:r>
        <w:rPr>
          <w:rFonts w:hint="eastAsia" w:ascii="仿宋_GB2312" w:hAnsi="仿宋_GB2312" w:eastAsia="仿宋_GB2312" w:cs="仿宋_GB2312"/>
          <w:color w:val="auto"/>
          <w:sz w:val="32"/>
          <w:szCs w:val="32"/>
        </w:rPr>
        <w:t>万元（含地价）。</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kern w:val="2"/>
          <w:sz w:val="32"/>
          <w:szCs w:val="32"/>
          <w:lang w:val="en-US" w:eastAsia="zh-CN" w:bidi="ar-SA"/>
        </w:rPr>
        <w:t>竞得人在用地红线内开发建设必须符合城市规划要求，必须按《</w:t>
      </w:r>
      <w:r>
        <w:rPr>
          <w:rFonts w:hint="eastAsia" w:ascii="仿宋_GB2312" w:hAnsi="仿宋_GB2312" w:eastAsia="仿宋_GB2312" w:cs="仿宋_GB2312"/>
          <w:color w:val="auto"/>
          <w:sz w:val="32"/>
          <w:szCs w:val="32"/>
          <w:lang w:val="en-US" w:eastAsia="zh-CN"/>
        </w:rPr>
        <w:t>建设用地规划设计条件</w:t>
      </w:r>
      <w:r>
        <w:rPr>
          <w:rFonts w:hint="eastAsia" w:ascii="仿宋_GB2312" w:hAnsi="仿宋_GB2312" w:eastAsia="仿宋_GB2312" w:cs="仿宋_GB2312"/>
          <w:color w:val="auto"/>
          <w:kern w:val="2"/>
          <w:sz w:val="32"/>
          <w:szCs w:val="32"/>
          <w:lang w:val="en-US" w:eastAsia="zh-CN" w:bidi="ar-SA"/>
        </w:rPr>
        <w:t>》（案卷编号：</w:t>
      </w:r>
      <w:r>
        <w:rPr>
          <w:rFonts w:hint="eastAsia" w:ascii="仿宋_GB2312" w:hAnsi="仿宋_GB2312" w:eastAsia="仿宋_GB2312" w:cs="仿宋_GB2312"/>
          <w:color w:val="auto"/>
          <w:sz w:val="32"/>
          <w:szCs w:val="32"/>
        </w:rPr>
        <w:t>PB202100</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）土地成交价款须以人民币支付,竞得人</w:t>
      </w:r>
      <w:r>
        <w:rPr>
          <w:rFonts w:ascii="仿宋_GB2312" w:hAnsi="仿宋_GB2312" w:eastAsia="仿宋_GB2312" w:cs="仿宋_GB2312"/>
          <w:color w:val="auto"/>
          <w:sz w:val="32"/>
          <w:szCs w:val="32"/>
        </w:rPr>
        <w:t>在签订</w:t>
      </w:r>
      <w:r>
        <w:rPr>
          <w:rFonts w:hint="eastAsia" w:ascii="仿宋_GB2312" w:hAnsi="仿宋_GB2312" w:eastAsia="仿宋_GB2312" w:cs="仿宋_GB2312"/>
          <w:color w:val="auto"/>
          <w:sz w:val="32"/>
          <w:szCs w:val="32"/>
        </w:rPr>
        <w:t>《出让合同》之日起30日</w:t>
      </w:r>
      <w:r>
        <w:rPr>
          <w:rFonts w:ascii="仿宋_GB2312" w:hAnsi="仿宋_GB2312" w:eastAsia="仿宋_GB2312" w:cs="仿宋_GB2312"/>
          <w:color w:val="auto"/>
          <w:sz w:val="32"/>
          <w:szCs w:val="32"/>
        </w:rPr>
        <w:t>内付清全部成交</w:t>
      </w:r>
      <w:r>
        <w:rPr>
          <w:rFonts w:hint="eastAsia" w:ascii="仿宋_GB2312" w:hAnsi="仿宋_GB2312" w:eastAsia="仿宋_GB2312" w:cs="仿宋_GB2312"/>
          <w:color w:val="auto"/>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规划建设3栋厂房、1栋设备用房和1间门卫。计算指标用地面积为73555平方米，容积率2.49，建筑密度54.25%，绿地率15.02%，计容积率建筑面积183307.78平方米，总建筑面积189552.92平方米（含坡道面积6245.14平方米），机动停车位552个（配充电车位56个）。各项指标符合《规划设计条件告知书》(案卷号：PB20210084)要求。须按程序进行公示，公示期未收到公众意见则同意所报总平面图及单体建筑设计方案。须做好管线综合设计报审，建筑设计须符合国家、省、市有关绿色建筑和建筑节能方面的技术规范和标准，须按海绵城市设计要求和市政府关于大力发展装配式建筑的实施意见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投资强度不低于15000元/平方米，土地产出率不低于20000元/平方米/年（其中，工业产值不低于10000元/平方米/年），税收产出不低于1208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w:t>
      </w:r>
      <w:r>
        <w:rPr>
          <w:rFonts w:hint="eastAsia" w:ascii="仿宋_GB2312" w:hAnsi="仿宋_GB2312" w:eastAsia="仿宋_GB2312" w:cs="仿宋_GB2312"/>
          <w:b w:val="0"/>
          <w:bCs w:val="0"/>
          <w:color w:val="auto"/>
          <w:kern w:val="0"/>
          <w:sz w:val="32"/>
          <w:szCs w:val="32"/>
          <w:lang w:val="en-US" w:eastAsia="zh-CN"/>
        </w:rPr>
        <w:t>取得惠城区高新园东江湾产业园鹿岗片区01单元中LG01-01-01、LG01-01-03、LG01-01-04地块使用权利人</w:t>
      </w:r>
      <w:r>
        <w:rPr>
          <w:rFonts w:hint="eastAsia" w:ascii="仿宋_GB2312" w:hAnsi="仿宋_GB2312" w:eastAsia="仿宋_GB2312" w:cs="仿宋_GB2312"/>
          <w:b w:val="0"/>
          <w:bCs w:val="0"/>
          <w:color w:val="auto"/>
          <w:kern w:val="0"/>
          <w:sz w:val="32"/>
          <w:szCs w:val="32"/>
        </w:rPr>
        <w:t>需</w:t>
      </w:r>
      <w:r>
        <w:rPr>
          <w:rFonts w:hint="eastAsia" w:ascii="仿宋_GB2312" w:hAnsi="仿宋_GB2312" w:eastAsia="仿宋_GB2312" w:cs="仿宋_GB2312"/>
          <w:b w:val="0"/>
          <w:bCs w:val="0"/>
          <w:color w:val="auto"/>
          <w:kern w:val="0"/>
          <w:sz w:val="32"/>
          <w:szCs w:val="32"/>
          <w:lang w:val="en-US" w:eastAsia="zh-CN"/>
        </w:rPr>
        <w:t>在地块范围内配建2个开关所配套用房。按照供电设计相关规范要求，在地块内</w:t>
      </w:r>
      <w:r>
        <w:rPr>
          <w:rFonts w:hint="eastAsia" w:ascii="仿宋_GB2312" w:hAnsi="仿宋_GB2312" w:eastAsia="仿宋_GB2312" w:cs="仿宋_GB2312"/>
          <w:b w:val="0"/>
          <w:bCs w:val="0"/>
          <w:color w:val="auto"/>
          <w:kern w:val="0"/>
          <w:sz w:val="32"/>
          <w:szCs w:val="32"/>
          <w:lang w:eastAsia="zh-CN"/>
        </w:rPr>
        <w:t>承担建筑面积≥</w:t>
      </w:r>
      <w:r>
        <w:rPr>
          <w:rFonts w:hint="eastAsia" w:ascii="仿宋_GB2312" w:hAnsi="仿宋_GB2312" w:eastAsia="仿宋_GB2312" w:cs="仿宋_GB2312"/>
          <w:b w:val="0"/>
          <w:bCs w:val="0"/>
          <w:color w:val="auto"/>
          <w:kern w:val="0"/>
          <w:sz w:val="32"/>
          <w:szCs w:val="32"/>
          <w:lang w:val="en-US" w:eastAsia="zh-CN"/>
        </w:rPr>
        <w:t>90㎡、建筑单独占地面积≥90㎡的园区供电开关站配套用房建设，建成后无偿移交给惠城区政府相关部门使用。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）竞得人在签订《成交确认书》前，须与惠城区高新科技产业园管委会签订《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定金不予返还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联系电话：（0752）</w:t>
      </w:r>
      <w:r>
        <w:rPr>
          <w:rFonts w:hint="eastAsia" w:ascii="仿宋_GB2312" w:hAnsi="仿宋_GB2312" w:eastAsia="仿宋_GB2312" w:cs="仿宋_GB2312"/>
          <w:color w:val="auto"/>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联系地址：广东省惠州市</w:t>
      </w:r>
      <w:r>
        <w:rPr>
          <w:rFonts w:hint="eastAsia" w:ascii="仿宋_GB2312" w:hAnsi="仿宋_GB2312" w:eastAsia="仿宋_GB2312" w:cs="仿宋_GB2312"/>
          <w:color w:val="auto"/>
          <w:sz w:val="32"/>
          <w:szCs w:val="32"/>
          <w:lang w:val="en-US" w:eastAsia="zh-CN"/>
        </w:rPr>
        <w:t>惠城区三新北路31号市民服务中心</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联系人：袁小姐、</w:t>
      </w:r>
      <w:r>
        <w:rPr>
          <w:rFonts w:hint="eastAsia" w:ascii="仿宋_GB2312" w:hAnsi="仿宋_GB2312" w:eastAsia="仿宋_GB2312" w:cs="仿宋_GB2312"/>
          <w:color w:val="auto"/>
          <w:sz w:val="32"/>
          <w:szCs w:val="32"/>
          <w:lang w:eastAsia="zh-CN"/>
        </w:rPr>
        <w:t>白</w:t>
      </w:r>
      <w:r>
        <w:rPr>
          <w:rFonts w:hint="eastAsia" w:ascii="仿宋_GB2312" w:hAnsi="仿宋_GB2312" w:eastAsia="仿宋_GB2312" w:cs="仿宋_GB2312"/>
          <w:color w:val="auto"/>
          <w:sz w:val="32"/>
          <w:szCs w:val="32"/>
        </w:rPr>
        <w:t>小姐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联系电话：（0752）</w:t>
      </w:r>
      <w:r>
        <w:rPr>
          <w:rFonts w:hint="eastAsia" w:ascii="仿宋_GB2312" w:hAnsi="仿宋_GB2312" w:eastAsia="仿宋_GB2312" w:cs="仿宋_GB2312"/>
          <w:color w:val="auto"/>
          <w:sz w:val="32"/>
          <w:szCs w:val="32"/>
          <w:lang w:val="en-US" w:eastAsia="zh-CN"/>
        </w:rPr>
        <w:t>7121026、7121026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注：本公告同时在下列网站及场所发布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中国土地市场网: </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"http://www.landchina.com" </w:instrText>
      </w:r>
      <w:r>
        <w:rPr>
          <w:rFonts w:hint="eastAsia" w:ascii="仿宋_GB2312" w:hAnsi="仿宋_GB2312" w:eastAsia="仿宋_GB2312" w:cs="仿宋_GB2312"/>
          <w:color w:val="auto"/>
          <w:sz w:val="32"/>
          <w:szCs w:val="32"/>
          <w:u w:val="none"/>
        </w:rPr>
        <w:fldChar w:fldCharType="separate"/>
      </w:r>
      <w:r>
        <w:rPr>
          <w:rStyle w:val="10"/>
          <w:rFonts w:hint="eastAsia" w:ascii="仿宋_GB2312" w:hAnsi="仿宋_GB2312" w:eastAsia="仿宋_GB2312" w:cs="仿宋_GB2312"/>
          <w:color w:val="auto"/>
          <w:sz w:val="32"/>
          <w:szCs w:val="32"/>
          <w:u w:val="none"/>
        </w:rPr>
        <w:t>http://www.landchina.com</w:t>
      </w:r>
      <w:r>
        <w:rPr>
          <w:rFonts w:hint="eastAsia" w:ascii="仿宋_GB2312" w:hAnsi="仿宋_GB2312" w:eastAsia="仿宋_GB2312" w:cs="仿宋_GB2312"/>
          <w:color w:val="auto"/>
          <w:sz w:val="32"/>
          <w:szCs w:val="32"/>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惠州市自然资源局网站：</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"http://land.huizhou.gov.cn" </w:instrText>
      </w:r>
      <w:r>
        <w:rPr>
          <w:rFonts w:hint="eastAsia" w:ascii="仿宋_GB2312" w:hAnsi="仿宋_GB2312" w:eastAsia="仿宋_GB2312" w:cs="仿宋_GB2312"/>
          <w:color w:val="auto"/>
          <w:sz w:val="32"/>
          <w:szCs w:val="32"/>
          <w:u w:val="none"/>
        </w:rPr>
        <w:fldChar w:fldCharType="separate"/>
      </w:r>
      <w:r>
        <w:rPr>
          <w:rStyle w:val="10"/>
          <w:rFonts w:hint="eastAsia" w:ascii="仿宋_GB2312" w:hAnsi="仿宋_GB2312" w:eastAsia="仿宋_GB2312" w:cs="仿宋_GB2312"/>
          <w:color w:val="auto"/>
          <w:sz w:val="32"/>
          <w:szCs w:val="32"/>
          <w:u w:val="none"/>
        </w:rPr>
        <w:t>http://land.huizhou.gov.cn</w:t>
      </w:r>
      <w:r>
        <w:rPr>
          <w:rFonts w:hint="eastAsia" w:ascii="仿宋_GB2312" w:hAnsi="仿宋_GB2312" w:eastAsia="仿宋_GB2312" w:cs="仿宋_GB2312"/>
          <w:color w:val="auto"/>
          <w:sz w:val="32"/>
          <w:szCs w:val="32"/>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惠州市公共资源交易中心网：</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"http://zyjy.huizhou.gov.cn"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http://zyjy.huizhou.gov.cn</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惠州市公共资源交易中心交易大厅现场。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数字证书办理地址：</w:t>
      </w:r>
      <w:r>
        <w:rPr>
          <w:rFonts w:ascii="仿宋_GB2312" w:eastAsia="仿宋_GB2312" w:cs="仿宋_GB2312"/>
          <w:color w:val="auto"/>
          <w:sz w:val="31"/>
          <w:szCs w:val="31"/>
        </w:rPr>
        <w:t>广东省惠州市</w:t>
      </w:r>
      <w:r>
        <w:rPr>
          <w:rFonts w:hint="default" w:ascii="仿宋_GB2312" w:eastAsia="仿宋_GB2312" w:cs="仿宋_GB2312"/>
          <w:color w:val="auto"/>
          <w:sz w:val="31"/>
          <w:szCs w:val="31"/>
        </w:rPr>
        <w:t>惠城区三新北路31号市民服务中心3号楼惠州市公共资源交易中心一楼大厅1号土地与矿业交易窗口。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联系电话：0752-</w:t>
      </w:r>
      <w:r>
        <w:rPr>
          <w:rFonts w:hint="eastAsia" w:ascii="仿宋_GB2312" w:hAnsi="仿宋_GB2312" w:eastAsia="仿宋_GB2312" w:cs="仿宋_GB2312"/>
          <w:color w:val="auto"/>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color w:val="auto"/>
          <w:sz w:val="32"/>
          <w:szCs w:val="32"/>
        </w:rPr>
      </w:pPr>
    </w:p>
    <w:p>
      <w:pPr>
        <w:spacing w:line="360" w:lineRule="auto"/>
        <w:jc w:val="center"/>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spacing w:line="360" w:lineRule="auto"/>
        <w:jc w:val="center"/>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w:t>
      </w:r>
      <w:r>
        <w:rPr>
          <w:rFonts w:hint="eastAsia" w:ascii="仿宋_GB2312" w:hAnsi="仿宋_GB2312" w:eastAsia="仿宋_GB2312" w:cs="仿宋_GB2312"/>
          <w:color w:val="auto"/>
          <w:sz w:val="32"/>
          <w:szCs w:val="32"/>
          <w:lang w:eastAsia="zh-CN"/>
        </w:rPr>
        <w:t>惠城区</w:t>
      </w:r>
      <w:r>
        <w:rPr>
          <w:rFonts w:hint="eastAsia" w:ascii="仿宋_GB2312" w:hAnsi="仿宋_GB2312" w:eastAsia="仿宋_GB2312" w:cs="仿宋_GB2312"/>
          <w:color w:val="auto"/>
          <w:sz w:val="32"/>
          <w:szCs w:val="32"/>
        </w:rPr>
        <w:t>自然资源局</w:t>
      </w:r>
    </w:p>
    <w:p>
      <w:pPr>
        <w:spacing w:line="360" w:lineRule="auto"/>
        <w:jc w:val="center"/>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spacing w:line="360" w:lineRule="auto"/>
        <w:ind w:firstLine="5120" w:firstLineChars="1600"/>
        <w:jc w:val="both"/>
        <w:rPr>
          <w:rFonts w:hint="default" w:ascii="仿宋_GB2312" w:hAnsi="仿宋_GB2312" w:eastAsia="仿宋_GB2312" w:cs="仿宋_GB2312"/>
          <w:color w:val="auto"/>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sz w:val="32"/>
          <w:szCs w:val="32"/>
          <w:lang w:val="en-US" w:eastAsia="zh-CN"/>
        </w:rPr>
        <w:t>2022年3月11日</w:t>
      </w:r>
    </w:p>
    <w:p>
      <w:pPr>
        <w:spacing w:line="360" w:lineRule="auto"/>
        <w:rPr>
          <w:rFonts w:hint="eastAsia" w:ascii="黑体" w:hAnsi="黑体" w:eastAsia="黑体"/>
          <w:color w:val="auto"/>
          <w:sz w:val="32"/>
          <w:szCs w:val="32"/>
        </w:rPr>
      </w:pPr>
      <w:r>
        <w:rPr>
          <w:rFonts w:hint="eastAsia" w:ascii="黑体" w:hAnsi="黑体" w:eastAsia="黑体"/>
          <w:color w:val="auto"/>
          <w:sz w:val="32"/>
          <w:szCs w:val="32"/>
        </w:rPr>
        <w:t>附表</w:t>
      </w:r>
    </w:p>
    <w:p>
      <w:pPr>
        <w:tabs>
          <w:tab w:val="left" w:pos="9720"/>
        </w:tabs>
        <w:spacing w:line="360" w:lineRule="auto"/>
        <w:jc w:val="center"/>
        <w:outlineLvl w:val="0"/>
        <w:rPr>
          <w:rFonts w:hint="eastAsia" w:ascii="方正小标宋_GBK" w:eastAsia="方正小标宋_GBK"/>
          <w:b/>
          <w:color w:val="auto"/>
          <w:sz w:val="36"/>
          <w:szCs w:val="36"/>
        </w:rPr>
      </w:pPr>
      <w:r>
        <w:rPr>
          <w:rFonts w:hint="eastAsia" w:ascii="方正小标宋_GBK" w:eastAsia="方正小标宋_GBK"/>
          <w:b/>
          <w:color w:val="auto"/>
          <w:sz w:val="36"/>
          <w:szCs w:val="36"/>
        </w:rPr>
        <w:t>网上挂牌出让地块规划建设指标</w:t>
      </w:r>
    </w:p>
    <w:tbl>
      <w:tblPr>
        <w:tblStyle w:val="7"/>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挂牌地块编号</w:t>
            </w:r>
          </w:p>
        </w:tc>
        <w:tc>
          <w:tcPr>
            <w:tcW w:w="690"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土地</w:t>
            </w:r>
          </w:p>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lang w:val="en-US" w:eastAsia="zh-CN"/>
              </w:rPr>
              <w:t>地块</w:t>
            </w:r>
            <w:r>
              <w:rPr>
                <w:rFonts w:hint="eastAsia" w:ascii="仿宋_GB2312" w:eastAsia="仿宋_GB2312"/>
                <w:b/>
                <w:bCs/>
                <w:color w:val="auto"/>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土地</w:t>
            </w:r>
          </w:p>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用途</w:t>
            </w:r>
          </w:p>
        </w:tc>
        <w:tc>
          <w:tcPr>
            <w:tcW w:w="774"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宗地使用权面积（</w:t>
            </w:r>
            <w:r>
              <w:rPr>
                <w:rFonts w:hint="eastAsia" w:ascii="宋体" w:hAnsi="宋体" w:cs="宋体"/>
                <w:b/>
                <w:bCs/>
                <w:color w:val="auto"/>
                <w:szCs w:val="21"/>
              </w:rPr>
              <w:t>㎡</w:t>
            </w:r>
            <w:r>
              <w:rPr>
                <w:rFonts w:hint="eastAsia" w:ascii="仿宋_GB2312" w:eastAsia="仿宋_GB2312"/>
                <w:b/>
                <w:bCs/>
                <w:color w:val="auto"/>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color w:val="auto"/>
                <w:szCs w:val="21"/>
              </w:rPr>
            </w:pPr>
            <w:r>
              <w:rPr>
                <w:rFonts w:hint="eastAsia" w:ascii="仿宋_GB2312" w:eastAsia="仿宋_GB2312"/>
                <w:b/>
                <w:bCs/>
                <w:color w:val="auto"/>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color w:val="auto"/>
              </w:rPr>
            </w:pPr>
            <w:r>
              <w:rPr>
                <w:rFonts w:hint="eastAsia" w:ascii="仿宋_GB2312" w:eastAsia="仿宋_GB2312"/>
                <w:b/>
                <w:bCs/>
                <w:color w:val="auto"/>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690"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615"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570"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774"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948" w:type="dxa"/>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计算指标用地面积（</w:t>
            </w:r>
            <w:r>
              <w:rPr>
                <w:rFonts w:hint="eastAsia" w:ascii="宋体" w:hAnsi="宋体" w:cs="宋体"/>
                <w:b/>
                <w:bCs/>
                <w:color w:val="auto"/>
                <w:szCs w:val="21"/>
              </w:rPr>
              <w:t>㎡</w:t>
            </w:r>
            <w:r>
              <w:rPr>
                <w:rFonts w:hint="eastAsia" w:ascii="仿宋_GB2312" w:eastAsia="仿宋_GB2312"/>
                <w:b/>
                <w:bCs/>
                <w:color w:val="auto"/>
                <w:szCs w:val="21"/>
              </w:rPr>
              <w:t>）</w:t>
            </w:r>
          </w:p>
        </w:tc>
        <w:tc>
          <w:tcPr>
            <w:tcW w:w="720" w:type="dxa"/>
            <w:vAlign w:val="center"/>
          </w:tcPr>
          <w:p>
            <w:pPr>
              <w:autoSpaceDE w:val="0"/>
              <w:autoSpaceDN w:val="0"/>
              <w:adjustRightInd w:val="0"/>
              <w:spacing w:line="240" w:lineRule="exact"/>
              <w:jc w:val="center"/>
              <w:rPr>
                <w:rFonts w:hint="eastAsia" w:eastAsia="仿宋_GB2312"/>
                <w:b/>
                <w:color w:val="auto"/>
                <w:szCs w:val="21"/>
                <w:lang w:eastAsia="zh-CN"/>
              </w:rPr>
            </w:pPr>
            <w:r>
              <w:rPr>
                <w:rFonts w:hint="eastAsia" w:eastAsia="仿宋_GB2312"/>
                <w:b/>
                <w:color w:val="auto"/>
                <w:szCs w:val="21"/>
              </w:rPr>
              <w:t>建筑</w:t>
            </w:r>
            <w:r>
              <w:rPr>
                <w:rFonts w:hint="eastAsia" w:eastAsia="仿宋_GB2312"/>
                <w:b/>
                <w:color w:val="auto"/>
                <w:szCs w:val="21"/>
                <w:lang w:val="en-US" w:eastAsia="zh-CN"/>
              </w:rPr>
              <w:t>系数</w:t>
            </w:r>
          </w:p>
          <w:p>
            <w:pPr>
              <w:autoSpaceDE w:val="0"/>
              <w:autoSpaceDN w:val="0"/>
              <w:adjustRightInd w:val="0"/>
              <w:spacing w:line="240" w:lineRule="exact"/>
              <w:jc w:val="center"/>
              <w:rPr>
                <w:rFonts w:hint="eastAsia" w:ascii="仿宋_GB2312" w:eastAsia="仿宋_GB2312"/>
                <w:b/>
                <w:bCs/>
                <w:color w:val="auto"/>
                <w:szCs w:val="21"/>
              </w:rPr>
            </w:pPr>
            <w:r>
              <w:rPr>
                <w:rFonts w:hint="eastAsia" w:ascii="宋体" w:hAnsi="宋体" w:cs="宋体"/>
                <w:b/>
                <w:color w:val="auto"/>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color w:val="auto"/>
                <w:szCs w:val="21"/>
              </w:rPr>
            </w:pPr>
            <w:r>
              <w:rPr>
                <w:rFonts w:hint="eastAsia" w:ascii="仿宋_GB2312" w:eastAsia="仿宋_GB2312"/>
                <w:b/>
                <w:bCs/>
                <w:color w:val="auto"/>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color w:val="auto"/>
                <w:szCs w:val="21"/>
              </w:rPr>
            </w:pPr>
            <w:r>
              <w:rPr>
                <w:rFonts w:hint="eastAsia" w:ascii="仿宋_GB2312" w:eastAsia="仿宋_GB2312"/>
                <w:b/>
                <w:bCs/>
                <w:color w:val="auto"/>
                <w:szCs w:val="21"/>
              </w:rPr>
              <w:t>计容积率建筑面积（</w:t>
            </w:r>
            <w:r>
              <w:rPr>
                <w:rFonts w:hint="eastAsia" w:ascii="宋体" w:hAnsi="宋体" w:cs="宋体"/>
                <w:b/>
                <w:bCs/>
                <w:color w:val="auto"/>
                <w:szCs w:val="21"/>
              </w:rPr>
              <w:t>㎡</w:t>
            </w:r>
            <w:r>
              <w:rPr>
                <w:rFonts w:hint="eastAsia" w:ascii="仿宋_GB2312" w:eastAsia="仿宋_GB2312"/>
                <w:b/>
                <w:bCs/>
                <w:color w:val="auto"/>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color w:val="auto"/>
              </w:rPr>
            </w:pPr>
            <w:r>
              <w:rPr>
                <w:rFonts w:hint="eastAsia" w:eastAsia="仿宋_GB2312"/>
                <w:b/>
                <w:color w:val="auto"/>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color w:val="auto"/>
                <w:szCs w:val="21"/>
              </w:rPr>
            </w:pPr>
            <w:r>
              <w:rPr>
                <w:rFonts w:hint="eastAsia" w:eastAsia="仿宋_GB2312"/>
                <w:b/>
                <w:color w:val="auto"/>
                <w:szCs w:val="21"/>
              </w:rPr>
              <w:t>绿地率</w:t>
            </w:r>
          </w:p>
          <w:p>
            <w:pPr>
              <w:autoSpaceDE w:val="0"/>
              <w:autoSpaceDN w:val="0"/>
              <w:adjustRightInd w:val="0"/>
              <w:spacing w:line="240" w:lineRule="exact"/>
              <w:jc w:val="center"/>
              <w:rPr>
                <w:rFonts w:hint="eastAsia" w:eastAsia="仿宋_GB2312"/>
                <w:b/>
                <w:color w:val="auto"/>
                <w:szCs w:val="21"/>
              </w:rPr>
            </w:pPr>
            <w:r>
              <w:rPr>
                <w:rFonts w:hint="eastAsia" w:ascii="宋体" w:hAnsi="宋体" w:cs="宋体"/>
                <w:b/>
                <w:color w:val="auto"/>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color w:val="auto"/>
                <w:szCs w:val="21"/>
                <w:lang w:eastAsia="zh-CN"/>
              </w:rPr>
            </w:pPr>
            <w:r>
              <w:rPr>
                <w:rFonts w:hint="eastAsia" w:ascii="仿宋_GB2312" w:eastAsia="仿宋_GB2312"/>
                <w:b/>
                <w:bCs/>
                <w:color w:val="auto"/>
                <w:szCs w:val="21"/>
                <w:lang w:eastAsia="zh-CN"/>
              </w:rPr>
              <w:t>产业</w:t>
            </w:r>
          </w:p>
          <w:p>
            <w:pPr>
              <w:autoSpaceDE w:val="0"/>
              <w:autoSpaceDN w:val="0"/>
              <w:adjustRightInd w:val="0"/>
              <w:spacing w:line="240" w:lineRule="exact"/>
              <w:jc w:val="center"/>
              <w:rPr>
                <w:rFonts w:hint="eastAsia" w:ascii="仿宋_GB2312" w:eastAsia="仿宋_GB2312"/>
                <w:b/>
                <w:bCs/>
                <w:color w:val="auto"/>
                <w:lang w:eastAsia="zh-CN"/>
              </w:rPr>
            </w:pPr>
            <w:r>
              <w:rPr>
                <w:rFonts w:hint="eastAsia" w:ascii="仿宋_GB2312" w:eastAsia="仿宋_GB2312"/>
                <w:b/>
                <w:bCs/>
                <w:color w:val="auto"/>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GP2022-7</w:t>
            </w:r>
          </w:p>
        </w:tc>
        <w:tc>
          <w:tcPr>
            <w:tcW w:w="690" w:type="dxa"/>
            <w:vAlign w:val="center"/>
          </w:tcPr>
          <w:p>
            <w:pPr>
              <w:jc w:val="center"/>
              <w:rPr>
                <w:rFonts w:hint="default" w:ascii="仿宋_GB2312" w:hAnsi="Times New Roman" w:eastAsia="仿宋_GB2312"/>
                <w:color w:val="auto"/>
                <w:szCs w:val="21"/>
                <w:lang w:val="en-US" w:eastAsia="zh-CN"/>
              </w:rPr>
            </w:pPr>
            <w:r>
              <w:rPr>
                <w:rFonts w:hint="eastAsia" w:ascii="仿宋_GB2312" w:hAnsi="Times New Roman" w:eastAsia="仿宋_GB2312" w:cs="Times New Roman"/>
                <w:color w:val="auto"/>
                <w:szCs w:val="21"/>
                <w:lang w:val="en-US" w:eastAsia="zh-CN"/>
              </w:rPr>
              <w:t>惠州市惠城区高新科技产业园鹿岗片区LG01-01-04号地块</w:t>
            </w:r>
          </w:p>
        </w:tc>
        <w:tc>
          <w:tcPr>
            <w:tcW w:w="615"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LG01-01-04</w:t>
            </w:r>
          </w:p>
        </w:tc>
        <w:tc>
          <w:tcPr>
            <w:tcW w:w="570" w:type="dxa"/>
            <w:tcMar>
              <w:left w:w="0" w:type="dxa"/>
              <w:right w:w="0" w:type="dxa"/>
            </w:tcMar>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一类工业用地</w:t>
            </w:r>
          </w:p>
        </w:tc>
        <w:tc>
          <w:tcPr>
            <w:tcW w:w="774"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65893.94</w:t>
            </w:r>
          </w:p>
        </w:tc>
        <w:tc>
          <w:tcPr>
            <w:tcW w:w="948"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73555</w:t>
            </w:r>
          </w:p>
        </w:tc>
        <w:tc>
          <w:tcPr>
            <w:tcW w:w="720"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≥30</w:t>
            </w:r>
          </w:p>
        </w:tc>
        <w:tc>
          <w:tcPr>
            <w:tcW w:w="672" w:type="dxa"/>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1.6</w:t>
            </w:r>
            <w:r>
              <w:rPr>
                <w:rFonts w:hint="default" w:ascii="仿宋_GB2312" w:hAnsi="Times New Roman" w:eastAsia="仿宋_GB2312" w:cs="Times New Roman"/>
                <w:color w:val="auto"/>
                <w:szCs w:val="21"/>
                <w:lang w:val="en-US" w:eastAsia="zh-CN"/>
              </w:rPr>
              <w:t>-</w:t>
            </w:r>
            <w:r>
              <w:rPr>
                <w:rFonts w:hint="eastAsia" w:ascii="仿宋_GB2312" w:hAnsi="Times New Roman" w:eastAsia="仿宋_GB2312" w:cs="Times New Roman"/>
                <w:color w:val="auto"/>
                <w:szCs w:val="21"/>
                <w:lang w:val="en-US" w:eastAsia="zh-CN"/>
              </w:rPr>
              <w:t>2</w:t>
            </w:r>
            <w:r>
              <w:rPr>
                <w:rFonts w:hint="default" w:ascii="仿宋_GB2312" w:hAnsi="Times New Roman" w:eastAsia="仿宋_GB2312" w:cs="Times New Roman"/>
                <w:color w:val="auto"/>
                <w:szCs w:val="21"/>
                <w:lang w:val="en-US" w:eastAsia="zh-CN"/>
              </w:rPr>
              <w:t>.</w:t>
            </w:r>
            <w:r>
              <w:rPr>
                <w:rFonts w:hint="eastAsia" w:ascii="仿宋_GB2312" w:hAnsi="Times New Roman" w:eastAsia="仿宋_GB2312" w:cs="Times New Roman"/>
                <w:color w:val="auto"/>
                <w:szCs w:val="21"/>
                <w:lang w:val="en-US" w:eastAsia="zh-CN"/>
              </w:rPr>
              <w:t>5</w:t>
            </w:r>
          </w:p>
        </w:tc>
        <w:tc>
          <w:tcPr>
            <w:tcW w:w="1650"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117688-183887（其中配套设施建筑面积≥100）</w:t>
            </w:r>
          </w:p>
        </w:tc>
        <w:tc>
          <w:tcPr>
            <w:tcW w:w="1087"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行政办公及生活服务设施每100平方米计容积率建筑面积≥1个，厂房每100平方米计容积率建筑面积≥0.3个。停车场须按不低于总停车位的10%的比例配置充电设施。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15-20</w:t>
            </w:r>
          </w:p>
        </w:tc>
        <w:tc>
          <w:tcPr>
            <w:tcW w:w="979" w:type="dxa"/>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其他制造业用地</w:t>
            </w:r>
          </w:p>
        </w:tc>
        <w:tc>
          <w:tcPr>
            <w:tcW w:w="670" w:type="dxa"/>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50年</w:t>
            </w:r>
          </w:p>
          <w:p>
            <w:pPr>
              <w:jc w:val="center"/>
              <w:rPr>
                <w:rFonts w:hint="eastAsia" w:ascii="仿宋_GB2312" w:hAnsi="Times New Roman" w:eastAsia="仿宋_GB2312" w:cs="Times New Roman"/>
                <w:color w:val="auto"/>
                <w:szCs w:val="21"/>
                <w:lang w:val="en-US" w:eastAsia="zh-CN"/>
              </w:rPr>
            </w:pPr>
          </w:p>
        </w:tc>
      </w:tr>
    </w:tbl>
    <w:p>
      <w:pPr>
        <w:pStyle w:val="2"/>
        <w:rPr>
          <w:rFonts w:hint="eastAsia"/>
          <w:color w:val="auto"/>
        </w:rPr>
      </w:pPr>
    </w:p>
    <w:p>
      <w:pPr>
        <w:rPr>
          <w:rFonts w:hint="eastAsia" w:eastAsia="宋体"/>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C3FD8"/>
    <w:rsid w:val="07386886"/>
    <w:rsid w:val="082B1937"/>
    <w:rsid w:val="0D167AC3"/>
    <w:rsid w:val="0DF23899"/>
    <w:rsid w:val="0E7A65F6"/>
    <w:rsid w:val="101D3BC2"/>
    <w:rsid w:val="10BD4DFA"/>
    <w:rsid w:val="137618AF"/>
    <w:rsid w:val="13D50F1B"/>
    <w:rsid w:val="167673A1"/>
    <w:rsid w:val="17826335"/>
    <w:rsid w:val="17AA0480"/>
    <w:rsid w:val="188D227F"/>
    <w:rsid w:val="1A0B2C56"/>
    <w:rsid w:val="1A125157"/>
    <w:rsid w:val="1AA5305E"/>
    <w:rsid w:val="1AB42470"/>
    <w:rsid w:val="1ADB0E54"/>
    <w:rsid w:val="1C5904D7"/>
    <w:rsid w:val="1DE30B94"/>
    <w:rsid w:val="1E862B6D"/>
    <w:rsid w:val="1F7C2358"/>
    <w:rsid w:val="20ED2229"/>
    <w:rsid w:val="22890C8D"/>
    <w:rsid w:val="23420113"/>
    <w:rsid w:val="28774868"/>
    <w:rsid w:val="29A36EF6"/>
    <w:rsid w:val="2A157CFE"/>
    <w:rsid w:val="2A6B42FA"/>
    <w:rsid w:val="2A870225"/>
    <w:rsid w:val="2B5D4967"/>
    <w:rsid w:val="304C7078"/>
    <w:rsid w:val="31CE6D72"/>
    <w:rsid w:val="34396AE5"/>
    <w:rsid w:val="35335FA2"/>
    <w:rsid w:val="35521EEE"/>
    <w:rsid w:val="36061489"/>
    <w:rsid w:val="37607760"/>
    <w:rsid w:val="380440B7"/>
    <w:rsid w:val="381E07C6"/>
    <w:rsid w:val="38BD14D1"/>
    <w:rsid w:val="3C13026D"/>
    <w:rsid w:val="3DDC60B5"/>
    <w:rsid w:val="3E6E4FA2"/>
    <w:rsid w:val="40231E47"/>
    <w:rsid w:val="40363F40"/>
    <w:rsid w:val="411B39E1"/>
    <w:rsid w:val="42CE6157"/>
    <w:rsid w:val="43706132"/>
    <w:rsid w:val="45C047BF"/>
    <w:rsid w:val="4A1228DB"/>
    <w:rsid w:val="4A1B1ECC"/>
    <w:rsid w:val="4AE74DD0"/>
    <w:rsid w:val="4B6E3DA8"/>
    <w:rsid w:val="4C2E14D5"/>
    <w:rsid w:val="4F861E18"/>
    <w:rsid w:val="538C505C"/>
    <w:rsid w:val="565101CA"/>
    <w:rsid w:val="567F481B"/>
    <w:rsid w:val="57A3234F"/>
    <w:rsid w:val="57C844D5"/>
    <w:rsid w:val="596A13D8"/>
    <w:rsid w:val="5A893EB0"/>
    <w:rsid w:val="5AF873B7"/>
    <w:rsid w:val="5D241B5A"/>
    <w:rsid w:val="5E3B0440"/>
    <w:rsid w:val="5EC31ED2"/>
    <w:rsid w:val="606821F3"/>
    <w:rsid w:val="64D925C4"/>
    <w:rsid w:val="68527CA2"/>
    <w:rsid w:val="692A6240"/>
    <w:rsid w:val="6EB83079"/>
    <w:rsid w:val="6F4B3B48"/>
    <w:rsid w:val="73BE7EBD"/>
    <w:rsid w:val="73EE1E59"/>
    <w:rsid w:val="748840AA"/>
    <w:rsid w:val="761352C3"/>
    <w:rsid w:val="77DD303C"/>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白艳萍</cp:lastModifiedBy>
  <cp:lastPrinted>2022-03-09T01:27:00Z</cp:lastPrinted>
  <dcterms:modified xsi:type="dcterms:W3CDTF">2022-03-11T07:41:16Z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