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color w:val="auto"/>
          <w:spacing w:val="3"/>
          <w:sz w:val="44"/>
          <w:szCs w:val="44"/>
        </w:rPr>
      </w:pPr>
    </w:p>
    <w:p>
      <w:pPr>
        <w:tabs>
          <w:tab w:val="left" w:pos="11340"/>
        </w:tabs>
        <w:spacing w:line="520" w:lineRule="exact"/>
        <w:rPr>
          <w:rFonts w:hint="eastAsia" w:ascii="方正小标宋_GBK" w:hAnsi="华文中宋" w:eastAsia="方正小标宋_GBK"/>
          <w:b/>
          <w:bCs/>
          <w:color w:val="auto"/>
          <w:spacing w:val="3"/>
          <w:sz w:val="44"/>
          <w:szCs w:val="44"/>
        </w:rPr>
      </w:pPr>
    </w:p>
    <w:p>
      <w:pPr>
        <w:tabs>
          <w:tab w:val="left" w:pos="11340"/>
        </w:tabs>
        <w:spacing w:line="520" w:lineRule="exact"/>
        <w:rPr>
          <w:rFonts w:hint="eastAsia" w:ascii="方正小标宋_GBK" w:hAnsi="华文中宋" w:eastAsia="方正小标宋_GBK"/>
          <w:b/>
          <w:bCs/>
          <w:color w:val="auto"/>
          <w:spacing w:val="3"/>
          <w:sz w:val="44"/>
          <w:szCs w:val="44"/>
        </w:rPr>
      </w:pPr>
    </w:p>
    <w:p>
      <w:pPr>
        <w:tabs>
          <w:tab w:val="left" w:pos="11340"/>
        </w:tabs>
        <w:spacing w:line="520" w:lineRule="exact"/>
        <w:outlineLvl w:val="0"/>
        <w:rPr>
          <w:rFonts w:hint="eastAsia" w:ascii="方正小标宋_GBK" w:eastAsia="方正小标宋_GBK"/>
          <w:b/>
          <w:bCs/>
          <w:color w:val="auto"/>
          <w:spacing w:val="3"/>
          <w:sz w:val="48"/>
        </w:rPr>
      </w:pPr>
      <w:r>
        <w:rPr>
          <w:rFonts w:hint="eastAsia" w:ascii="方正小标宋_GBK" w:hAnsi="华文中宋" w:eastAsia="方正小标宋_GBK"/>
          <w:b/>
          <w:bCs/>
          <w:color w:val="auto"/>
          <w:spacing w:val="3"/>
          <w:sz w:val="44"/>
          <w:szCs w:val="44"/>
        </w:rPr>
        <w:t>惠州市国有建设用地使用权网上挂牌</w:t>
      </w:r>
      <w:r>
        <w:rPr>
          <w:rFonts w:hint="eastAsia" w:ascii="方正小标宋_GBK" w:hAnsi="华文中宋" w:eastAsia="方正小标宋_GBK"/>
          <w:b/>
          <w:bCs/>
          <w:color w:val="auto"/>
          <w:sz w:val="44"/>
          <w:szCs w:val="44"/>
        </w:rPr>
        <w:t>出让公告</w:t>
      </w:r>
    </w:p>
    <w:p>
      <w:pPr>
        <w:spacing w:line="520" w:lineRule="exact"/>
        <w:ind w:firstLine="640" w:firstLineChars="200"/>
        <w:jc w:val="center"/>
        <w:outlineLvl w:val="0"/>
        <w:rPr>
          <w:rFonts w:hint="eastAsia" w:ascii="仿宋_GB2312" w:eastAsia="仿宋_GB2312"/>
          <w:color w:val="auto"/>
          <w:sz w:val="32"/>
          <w:szCs w:val="32"/>
        </w:rPr>
      </w:pPr>
      <w:r>
        <w:rPr>
          <w:rFonts w:hint="eastAsia" w:ascii="仿宋_GB2312" w:eastAsia="仿宋_GB2312"/>
          <w:color w:val="auto"/>
          <w:sz w:val="32"/>
          <w:szCs w:val="32"/>
        </w:rPr>
        <w:t>惠公易土市直[20</w:t>
      </w:r>
      <w:r>
        <w:rPr>
          <w:rFonts w:hint="eastAsia" w:ascii="仿宋_GB2312" w:eastAsia="仿宋_GB2312"/>
          <w:color w:val="auto"/>
          <w:sz w:val="32"/>
          <w:szCs w:val="32"/>
          <w:lang w:val="en-US" w:eastAsia="zh-CN"/>
        </w:rPr>
        <w:t>22</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005</w:t>
      </w:r>
      <w:r>
        <w:rPr>
          <w:rFonts w:hint="eastAsia" w:ascii="仿宋_GB2312" w:eastAsia="仿宋_GB2312"/>
          <w:color w:val="auto"/>
          <w:sz w:val="32"/>
          <w:szCs w:val="32"/>
        </w:rPr>
        <w:t>号</w:t>
      </w:r>
    </w:p>
    <w:p>
      <w:pPr>
        <w:spacing w:line="520" w:lineRule="exact"/>
        <w:ind w:firstLine="640" w:firstLineChars="200"/>
        <w:rPr>
          <w:rFonts w:hint="eastAsia" w:ascii="仿宋_GB2312" w:eastAsia="仿宋_GB2312"/>
          <w:color w:val="auto"/>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根据国土资源部令第39号《招标拍卖挂牌出让国有建设用地使用权规定》和广东省人民政府令第79号《广东省土地使用权交易市场管理规定》的规定，</w:t>
      </w:r>
      <w:r>
        <w:rPr>
          <w:rFonts w:hint="eastAsia" w:ascii="仿宋_GB2312" w:hAnsi="仿宋_GB2312" w:eastAsia="仿宋_GB2312" w:cs="仿宋_GB2312"/>
          <w:color w:val="auto"/>
          <w:sz w:val="32"/>
          <w:szCs w:val="32"/>
          <w:lang w:eastAsia="zh-CN"/>
        </w:rPr>
        <w:t>经惠城区人民政府</w:t>
      </w:r>
      <w:r>
        <w:rPr>
          <w:rFonts w:hint="eastAsia" w:ascii="仿宋_GB2312" w:hAnsi="仿宋_GB2312" w:eastAsia="仿宋_GB2312" w:cs="仿宋_GB2312"/>
          <w:color w:val="auto"/>
          <w:sz w:val="32"/>
          <w:szCs w:val="32"/>
        </w:rPr>
        <w:t>批准，惠州市</w:t>
      </w:r>
      <w:r>
        <w:rPr>
          <w:rFonts w:hint="eastAsia" w:ascii="仿宋_GB2312" w:hAnsi="仿宋_GB2312" w:eastAsia="仿宋_GB2312" w:cs="仿宋_GB2312"/>
          <w:color w:val="auto"/>
          <w:sz w:val="32"/>
          <w:szCs w:val="32"/>
          <w:lang w:val="en-US" w:eastAsia="zh-CN"/>
        </w:rPr>
        <w:t>惠城区</w:t>
      </w:r>
      <w:r>
        <w:rPr>
          <w:rFonts w:hint="eastAsia" w:ascii="仿宋_GB2312" w:hAnsi="仿宋_GB2312" w:eastAsia="仿宋_GB2312" w:cs="仿宋_GB2312"/>
          <w:color w:val="auto"/>
          <w:sz w:val="32"/>
          <w:szCs w:val="32"/>
        </w:rPr>
        <w:t>自然资源局决定以网上挂牌方式出让下列一宗国有建设用地使用权，本次国有建设用地使用权网上挂牌出让交易具体事务委托惠州市公共资源交易中心办理。现将有关事项公告如下：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left="319" w:leftChars="152" w:firstLine="400" w:firstLineChars="12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二、网上挂牌竞买时间为20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时至20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三、挂牌起始价为人民币</w:t>
      </w:r>
      <w:r>
        <w:rPr>
          <w:rFonts w:hint="eastAsia" w:ascii="仿宋_GB2312" w:hAnsi="仿宋_GB2312" w:eastAsia="仿宋_GB2312" w:cs="仿宋_GB2312"/>
          <w:color w:val="auto"/>
          <w:kern w:val="0"/>
          <w:sz w:val="32"/>
          <w:szCs w:val="32"/>
          <w:lang w:val="en-US" w:eastAsia="zh-CN"/>
        </w:rPr>
        <w:t>5910</w:t>
      </w:r>
      <w:r>
        <w:rPr>
          <w:rFonts w:hint="eastAsia" w:ascii="仿宋_GB2312" w:hAnsi="仿宋_GB2312" w:eastAsia="仿宋_GB2312" w:cs="仿宋_GB2312"/>
          <w:color w:val="auto"/>
          <w:sz w:val="32"/>
          <w:szCs w:val="32"/>
        </w:rPr>
        <w:t>万元,每次报价加价幅度为人民币</w:t>
      </w:r>
      <w:r>
        <w:rPr>
          <w:rFonts w:hint="eastAsia" w:ascii="仿宋_GB2312" w:hAnsi="仿宋_GB2312" w:eastAsia="仿宋_GB2312" w:cs="仿宋_GB2312"/>
          <w:color w:val="auto"/>
          <w:sz w:val="32"/>
          <w:szCs w:val="32"/>
          <w:lang w:val="en-US" w:eastAsia="zh-CN"/>
        </w:rPr>
        <w:t>50</w:t>
      </w:r>
      <w:r>
        <w:rPr>
          <w:rFonts w:hint="eastAsia" w:ascii="仿宋_GB2312" w:hAnsi="仿宋_GB2312" w:eastAsia="仿宋_GB2312" w:cs="仿宋_GB2312"/>
          <w:color w:val="auto"/>
          <w:sz w:val="32"/>
          <w:szCs w:val="32"/>
        </w:rPr>
        <w:t>万元的整数倍。</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四、中华人民共和国境内外的法人和其他组织（除法律法规另有规定外）均可申请参加竞买。申请人可以单独申请，也可以联合申请：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color w:val="auto"/>
          <w:szCs w:val="32"/>
        </w:rPr>
      </w:pPr>
      <w:r>
        <w:rPr>
          <w:rFonts w:hint="eastAsia" w:hAnsi="仿宋_GB2312" w:cs="仿宋_GB2312"/>
          <w:color w:val="auto"/>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Times New Roman" w:hAnsi="Times New Roman"/>
          <w:color w:val="auto"/>
          <w:lang w:val="en-US" w:eastAsia="zh-CN"/>
        </w:rPr>
        <w:t>（即竞得人必须是新公司的唯一股东）</w:t>
      </w:r>
      <w:r>
        <w:rPr>
          <w:rFonts w:hint="default" w:ascii="Times New Roman" w:hAnsi="Times New Roman"/>
          <w:color w:val="auto"/>
          <w:lang w:val="en-US" w:eastAsia="zh-CN"/>
        </w:rPr>
        <w:t>。</w:t>
      </w:r>
      <w:r>
        <w:rPr>
          <w:rFonts w:hint="eastAsia" w:hAnsi="仿宋_GB2312" w:cs="仿宋_GB2312"/>
          <w:color w:val="auto"/>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color w:val="auto"/>
          <w:szCs w:val="32"/>
        </w:rPr>
      </w:pPr>
      <w:r>
        <w:rPr>
          <w:rFonts w:hint="eastAsia" w:hAnsi="仿宋_GB2312" w:cs="仿宋_GB2312"/>
          <w:color w:val="auto"/>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color w:val="auto"/>
          <w:szCs w:val="32"/>
        </w:rPr>
      </w:pPr>
      <w:r>
        <w:rPr>
          <w:rFonts w:hint="eastAsia" w:hAnsi="仿宋_GB2312" w:cs="仿宋_GB2312"/>
          <w:color w:val="auto"/>
          <w:szCs w:val="32"/>
          <w:lang w:val="en-US" w:eastAsia="zh-CN"/>
        </w:rPr>
        <w:t>五</w:t>
      </w:r>
      <w:r>
        <w:rPr>
          <w:rFonts w:hint="eastAsia" w:hAnsi="仿宋_GB2312" w:cs="仿宋_GB2312"/>
          <w:color w:val="auto"/>
          <w:szCs w:val="32"/>
        </w:rPr>
        <w:t>、申请人应具备的其他条件：</w:t>
      </w:r>
    </w:p>
    <w:p>
      <w:pPr>
        <w:pStyle w:val="3"/>
        <w:keepNext w:val="0"/>
        <w:keepLines w:val="0"/>
        <w:pageBreakBefore w:val="0"/>
        <w:widowControl w:val="0"/>
        <w:kinsoku/>
        <w:wordWrap/>
        <w:overflowPunct/>
        <w:topLinePunct w:val="0"/>
        <w:autoSpaceDE/>
        <w:autoSpaceDN/>
        <w:bidi w:val="0"/>
        <w:spacing w:line="560" w:lineRule="exact"/>
        <w:jc w:val="both"/>
        <w:textAlignment w:val="auto"/>
        <w:outlineLvl w:val="0"/>
        <w:rPr>
          <w:rFonts w:hint="eastAsia" w:hAnsi="仿宋_GB2312" w:cs="仿宋_GB2312"/>
          <w:color w:val="auto"/>
          <w:szCs w:val="32"/>
        </w:rPr>
      </w:pPr>
      <w:r>
        <w:rPr>
          <w:rFonts w:hint="eastAsia" w:hAnsi="仿宋_GB2312" w:cs="仿宋_GB2312"/>
          <w:color w:val="auto"/>
          <w:szCs w:val="32"/>
        </w:rPr>
        <w:t>（一）缴交竞买保证金</w:t>
      </w:r>
      <w:r>
        <w:rPr>
          <w:rFonts w:hint="eastAsia" w:hAnsi="仿宋"/>
          <w:color w:val="auto"/>
          <w:kern w:val="2"/>
          <w:szCs w:val="32"/>
          <w:lang w:val="en-US" w:eastAsia="zh-CN"/>
        </w:rPr>
        <w:t>1773</w:t>
      </w:r>
      <w:r>
        <w:rPr>
          <w:rFonts w:hint="eastAsia" w:hAnsi="仿宋_GB2312" w:cs="仿宋_GB2312"/>
          <w:color w:val="auto"/>
          <w:szCs w:val="32"/>
        </w:rPr>
        <w:t>万元人民币。</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0"/>
        <w:rPr>
          <w:rFonts w:hint="eastAsia" w:hAnsi="仿宋_GB2312" w:cs="仿宋_GB2312"/>
          <w:color w:val="auto"/>
          <w:szCs w:val="32"/>
        </w:rPr>
      </w:pPr>
      <w:r>
        <w:rPr>
          <w:rFonts w:hint="eastAsia" w:hAnsi="仿宋_GB2312" w:cs="仿宋_GB2312"/>
          <w:color w:val="auto"/>
          <w:szCs w:val="32"/>
        </w:rPr>
        <w:t>（</w:t>
      </w:r>
      <w:r>
        <w:rPr>
          <w:rFonts w:hint="eastAsia" w:hAnsi="仿宋_GB2312" w:cs="仿宋_GB2312"/>
          <w:color w:val="auto"/>
          <w:szCs w:val="32"/>
          <w:lang w:val="en-US" w:eastAsia="zh-CN"/>
        </w:rPr>
        <w:t>二</w:t>
      </w:r>
      <w:r>
        <w:rPr>
          <w:rFonts w:hint="eastAsia" w:hAnsi="仿宋_GB2312" w:cs="仿宋_GB2312"/>
          <w:color w:val="auto"/>
          <w:szCs w:val="32"/>
        </w:rPr>
        <w:t>）存在下列违法违规违约行为之一的企业及其控股股东，不得参与竞买上述地块：</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1、存在伪造公文骗取用地和非法倒卖土地等犯罪行为的；</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2、存在非法转让土地使用权等违法行为的；</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3、因企业原因造成土地闲置一年以上且至报名日止未处罚完结的；</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4、开发建设企业有违背出让合同约定条件开发利用土地情形且至报名日止未处罚完结的；</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5、至报名日止仍拖欠政府地价款的。</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、本次网上挂牌出让的详细资料和具体要求，见惠州市公共资源交易中心土地与矿业网上挂牌交易系统（</w:t>
      </w:r>
      <w:r>
        <w:rPr>
          <w:rFonts w:hint="eastAsia" w:ascii="仿宋_GB2312" w:hAnsi="仿宋_GB2312" w:eastAsia="仿宋_GB2312" w:cs="仿宋_GB2312"/>
          <w:color w:val="auto"/>
          <w:sz w:val="32"/>
          <w:szCs w:val="32"/>
          <w:lang w:val="en-US" w:eastAsia="zh-CN"/>
        </w:rPr>
        <w:t>https://www.hzgtjy.com/</w:t>
      </w:r>
      <w:r>
        <w:rPr>
          <w:rFonts w:hint="eastAsia" w:ascii="仿宋_GB2312" w:hAnsi="仿宋_GB2312" w:eastAsia="仿宋_GB2312" w:cs="仿宋_GB2312"/>
          <w:color w:val="auto"/>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、申请人应当在网上挂牌出让结束前登</w:t>
      </w:r>
      <w:r>
        <w:rPr>
          <w:rFonts w:hint="eastAsia" w:ascii="仿宋_GB2312" w:hAnsi="仿宋_GB2312" w:eastAsia="仿宋_GB2312" w:cs="仿宋_GB2312"/>
          <w:color w:val="auto"/>
          <w:sz w:val="32"/>
          <w:szCs w:val="32"/>
          <w:lang w:eastAsia="zh-CN"/>
        </w:rPr>
        <w:t>录</w:t>
      </w:r>
      <w:r>
        <w:rPr>
          <w:rFonts w:hint="eastAsia" w:ascii="仿宋_GB2312" w:hAnsi="仿宋_GB2312" w:eastAsia="仿宋_GB2312" w:cs="仿宋_GB2312"/>
          <w:color w:val="auto"/>
          <w:sz w:val="32"/>
          <w:szCs w:val="32"/>
        </w:rPr>
        <w:t>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上</w:t>
      </w:r>
      <w:r>
        <w:rPr>
          <w:rFonts w:hint="eastAsia" w:ascii="仿宋_GB2312" w:hAnsi="仿宋_GB2312" w:eastAsia="仿宋_GB2312" w:cs="仿宋_GB2312"/>
          <w:color w:val="auto"/>
          <w:sz w:val="32"/>
          <w:szCs w:val="32"/>
        </w:rPr>
        <w:t>午</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网上挂牌系统确定成交后，竞得人缴纳的竞买保证金按成交价的20%转作定金。如竞买保证金不足以缴纳定金，不足部分在交易系统确定成交之日起5个工作日内补齐；如竞买保证金转作定金后有剩余，余额抵作土地成交价的预付款。竞得人签订《出让合同》后，定金可抵作土地成交价款，余额转作成交价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、其它需要公告的事项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（一）开发投资总额不少于</w:t>
      </w:r>
      <w:r>
        <w:rPr>
          <w:rFonts w:hint="eastAsia" w:ascii="仿宋_GB2312" w:hAnsi="宋体" w:eastAsia="仿宋_GB2312" w:cs="宋体"/>
          <w:color w:val="auto"/>
          <w:kern w:val="0"/>
          <w:sz w:val="32"/>
          <w:szCs w:val="32"/>
          <w:lang w:val="en-US" w:eastAsia="zh-CN"/>
        </w:rPr>
        <w:t>87618</w:t>
      </w:r>
      <w:r>
        <w:rPr>
          <w:rFonts w:hint="eastAsia" w:ascii="仿宋_GB2312" w:hAnsi="仿宋_GB2312" w:eastAsia="仿宋_GB2312" w:cs="仿宋_GB2312"/>
          <w:color w:val="auto"/>
          <w:sz w:val="32"/>
          <w:szCs w:val="32"/>
        </w:rPr>
        <w:t>万元（含地价）。</w:t>
      </w:r>
    </w:p>
    <w:p>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kern w:val="2"/>
          <w:sz w:val="32"/>
          <w:szCs w:val="32"/>
          <w:lang w:val="en-US" w:eastAsia="zh-CN" w:bidi="ar-SA"/>
        </w:rPr>
        <w:t>竞得人在用地红线内开发建设必须符合城市规划要求，必须按《</w:t>
      </w:r>
      <w:r>
        <w:rPr>
          <w:rFonts w:hint="eastAsia" w:ascii="仿宋_GB2312" w:hAnsi="仿宋_GB2312" w:eastAsia="仿宋_GB2312" w:cs="仿宋_GB2312"/>
          <w:color w:val="auto"/>
          <w:sz w:val="32"/>
          <w:szCs w:val="32"/>
          <w:lang w:val="en-US" w:eastAsia="zh-CN"/>
        </w:rPr>
        <w:t>建设用地规划设计条件</w:t>
      </w:r>
      <w:r>
        <w:rPr>
          <w:rFonts w:hint="eastAsia" w:ascii="仿宋_GB2312" w:hAnsi="仿宋_GB2312" w:eastAsia="仿宋_GB2312" w:cs="仿宋_GB2312"/>
          <w:color w:val="auto"/>
          <w:kern w:val="2"/>
          <w:sz w:val="32"/>
          <w:szCs w:val="32"/>
          <w:lang w:val="en-US" w:eastAsia="zh-CN" w:bidi="ar-SA"/>
        </w:rPr>
        <w:t>》（案卷编号：</w:t>
      </w:r>
      <w:r>
        <w:rPr>
          <w:rFonts w:hint="eastAsia" w:ascii="仿宋_GB2312" w:hAnsi="仿宋_GB2312" w:eastAsia="仿宋_GB2312" w:cs="仿宋_GB2312"/>
          <w:color w:val="auto"/>
          <w:sz w:val="32"/>
          <w:szCs w:val="32"/>
        </w:rPr>
        <w:t>PB202100</w:t>
      </w:r>
      <w:r>
        <w:rPr>
          <w:rFonts w:hint="eastAsia" w:ascii="仿宋_GB2312" w:hAnsi="仿宋_GB2312" w:eastAsia="仿宋_GB2312" w:cs="仿宋_GB2312"/>
          <w:color w:val="auto"/>
          <w:sz w:val="32"/>
          <w:szCs w:val="32"/>
          <w:lang w:val="en-US" w:eastAsia="zh-CN"/>
        </w:rPr>
        <w:t>75</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cs="仿宋_GB2312"/>
          <w:color w:val="auto"/>
          <w:kern w:val="2"/>
          <w:sz w:val="32"/>
          <w:szCs w:val="32"/>
          <w:lang w:val="en-US" w:eastAsia="zh-CN" w:bidi="ar-SA"/>
        </w:rPr>
        <w:t>的</w:t>
      </w:r>
      <w:r>
        <w:rPr>
          <w:rFonts w:hint="eastAsia" w:ascii="仿宋_GB2312" w:hAnsi="仿宋_GB2312" w:eastAsia="仿宋_GB2312" w:cs="仿宋_GB2312"/>
          <w:color w:val="auto"/>
          <w:kern w:val="2"/>
          <w:sz w:val="32"/>
          <w:szCs w:val="32"/>
          <w:lang w:val="en-US" w:eastAsia="zh-CN" w:bidi="ar-SA"/>
        </w:rPr>
        <w:t>规划控制指标要求及有关规定进行规划设计</w:t>
      </w:r>
      <w:r>
        <w:rPr>
          <w:rFonts w:hint="eastAsia" w:ascii="仿宋_GB2312" w:hAnsi="宋体" w:eastAsia="仿宋_GB2312" w:cs="宋体"/>
          <w:color w:val="auto"/>
          <w:kern w:val="0"/>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）土地成交价款须以人民币支付,竞得人</w:t>
      </w:r>
      <w:r>
        <w:rPr>
          <w:rFonts w:ascii="仿宋_GB2312" w:hAnsi="仿宋_GB2312" w:eastAsia="仿宋_GB2312" w:cs="仿宋_GB2312"/>
          <w:color w:val="auto"/>
          <w:sz w:val="32"/>
          <w:szCs w:val="32"/>
        </w:rPr>
        <w:t>在签订</w:t>
      </w:r>
      <w:r>
        <w:rPr>
          <w:rFonts w:hint="eastAsia" w:ascii="仿宋_GB2312" w:hAnsi="仿宋_GB2312" w:eastAsia="仿宋_GB2312" w:cs="仿宋_GB2312"/>
          <w:color w:val="auto"/>
          <w:sz w:val="32"/>
          <w:szCs w:val="32"/>
        </w:rPr>
        <w:t>《出让合同》之日起30日</w:t>
      </w:r>
      <w:r>
        <w:rPr>
          <w:rFonts w:ascii="仿宋_GB2312" w:hAnsi="仿宋_GB2312" w:eastAsia="仿宋_GB2312" w:cs="仿宋_GB2312"/>
          <w:color w:val="auto"/>
          <w:sz w:val="32"/>
          <w:szCs w:val="32"/>
        </w:rPr>
        <w:t>内付清全部成交</w:t>
      </w:r>
      <w:r>
        <w:rPr>
          <w:rFonts w:hint="eastAsia" w:ascii="仿宋_GB2312" w:hAnsi="仿宋_GB2312" w:eastAsia="仿宋_GB2312" w:cs="仿宋_GB2312"/>
          <w:color w:val="auto"/>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）竞买人须提交惠城区发改局出具的与该宗地块产业类型一致的优先发展产业项目文件。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项目规划建设方案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所报总平面图的主要技术经济指标：</w:t>
      </w:r>
      <w:r>
        <w:rPr>
          <w:rFonts w:hint="eastAsia" w:ascii="仿宋_GB2312" w:hAnsi="仿宋_GB2312" w:eastAsia="仿宋_GB2312" w:cs="仿宋_GB2312"/>
          <w:b w:val="0"/>
          <w:bCs w:val="0"/>
          <w:color w:val="auto"/>
          <w:kern w:val="0"/>
          <w:sz w:val="32"/>
          <w:szCs w:val="32"/>
          <w:lang w:val="en-US" w:eastAsia="zh-CN"/>
        </w:rPr>
        <w:t>规划布局21栋厂房、1栋宿舍，建筑层数地上最高11层，地下1层，计算指标用地面积58412平方米，计容积率总建筑面积146030平方米（其中生活服务设施用地占比2.48%，建筑面积占比6.62%），容积率2.5，建筑系数41.6%，绿地率18.5%，机动车停车位513个（其中地上203个，地下310个）。各项指标满足《建设用地规划设计条件》（PB20210075号）要求。须按程序进行公示，公示期未收到公众意见，满足相关技术规范要求则拟同意所报总平面图及单体建筑设计方案。建设单位须同步做好管线综合设计报审，排水设计应实施雨污分流，建筑设计须符合国家、省、市有关绿色建筑和建筑节能方面的技术规范和标准，须按海绵城市设计要求做好设计及施工，本项目应按照《惠州市人民政府办公室关于大力发展装配式建筑的实施意见》（惠府办〔2019〕10号）的要求执行，停车场须按不低于总停车位的10%的比例配置充电设施。须按人防相关文件、规范要求做好人防设计及施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招商条件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投资强度不低于15000元/平方米，土地产出率不低于30000元/平方米/年（其中，工业产值不低于20002元/平方米/年），税收产出不低于1320元/平方米/年。其中，土地产出率及税收产出，在项目投产后3年内逐年考核，3年内的平均值不得低于上述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签订《国有建设用地交地确认书》在未通过指标评价考核之前，原则上不得转让土地使用权和变更开发主体公司股权。确需要转让土地使用权和变更开发主体公司股权的，除满足土地使用权转让和公司股权变更的法律法规政策规定和其他约定外，乙方须报请甲方审定同意，同时将宗地投资建设受本协议约束如实告知其受让方，协助受让方与甲方重新签订协议，并保证本协议的主体从乙方变更为其受让方。本宗地交付乙方后,乙方须向惠州市惠城区高新科技产业园管理委员会提交项目投资计划书和时间安排表，并按月向惠州市惠城区高新科技产业园管理委员会书面报告项目进展情况，直至项目投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（七）</w:t>
      </w:r>
      <w:r>
        <w:rPr>
          <w:rFonts w:hint="eastAsia" w:ascii="仿宋_GB2312" w:hAnsi="仿宋_GB2312" w:eastAsia="仿宋_GB2312" w:cs="仿宋_GB2312"/>
          <w:b w:val="0"/>
          <w:bCs w:val="0"/>
          <w:color w:val="auto"/>
          <w:kern w:val="0"/>
          <w:sz w:val="32"/>
          <w:szCs w:val="32"/>
          <w:lang w:val="en-US" w:eastAsia="zh-CN"/>
        </w:rPr>
        <w:t>取得地块使用权利人需承担在地块内建设一个建筑面积≥90㎡、建筑占地面积≥90㎡的园区供电开关站配套用房，建成后无偿移交给惠城区政府相关部门使用。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）竞得人在签订《成交确认书》前，须与惠城区高新科技产业园管委会签订《</w:t>
      </w:r>
      <w:r>
        <w:rPr>
          <w:rFonts w:hint="eastAsia" w:ascii="仿宋_GB2312" w:hAnsi="仿宋_GB2312" w:eastAsia="仿宋_GB2312" w:cs="仿宋_GB2312"/>
          <w:color w:val="auto"/>
          <w:sz w:val="32"/>
          <w:szCs w:val="32"/>
          <w:lang w:eastAsia="zh-CN"/>
        </w:rPr>
        <w:t>项目实施监管协议书</w:t>
      </w:r>
      <w:r>
        <w:rPr>
          <w:rFonts w:hint="eastAsia" w:ascii="仿宋_GB2312" w:hAnsi="仿宋_GB2312" w:eastAsia="仿宋_GB2312" w:cs="仿宋_GB2312"/>
          <w:color w:val="auto"/>
          <w:sz w:val="32"/>
          <w:szCs w:val="32"/>
        </w:rPr>
        <w:t>》，并由惠城区高新科技产业园管委会对项目用地实施批后监管。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）竞得人有下列行为之一的，视为违约，取消竞得人资格，</w:t>
      </w:r>
      <w:r>
        <w:rPr>
          <w:rFonts w:hint="eastAsia" w:ascii="仿宋_GB2312" w:hAnsi="仿宋_GB2312" w:eastAsia="仿宋_GB2312" w:cs="仿宋_GB2312"/>
          <w:color w:val="auto"/>
          <w:sz w:val="32"/>
          <w:szCs w:val="32"/>
          <w:lang w:val="en-US" w:eastAsia="zh-CN"/>
        </w:rPr>
        <w:t>定金不予返还</w:t>
      </w:r>
      <w:r>
        <w:rPr>
          <w:rFonts w:hint="eastAsia" w:ascii="仿宋_GB2312" w:hAnsi="仿宋_GB2312" w:eastAsia="仿宋_GB2312" w:cs="仿宋_GB2312"/>
          <w:color w:val="auto"/>
          <w:sz w:val="32"/>
          <w:szCs w:val="32"/>
        </w:rPr>
        <w:t>,并由有关部门依法处理;造成损失的，竞得人还应依法承担赔偿责任：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3、竞得人以其他非法手段竞得的；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十</w:t>
      </w:r>
      <w:r>
        <w:rPr>
          <w:rFonts w:hint="eastAsia" w:ascii="仿宋_GB2312" w:hAnsi="仿宋_GB2312" w:eastAsia="仿宋_GB2312" w:cs="仿宋_GB2312"/>
          <w:color w:val="auto"/>
          <w:sz w:val="32"/>
          <w:szCs w:val="32"/>
        </w:rPr>
        <w:t>）挂牌出让价款不含应由竞得人缴纳的契税、印花税等有关费用。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（一）惠州市</w:t>
      </w:r>
      <w:r>
        <w:rPr>
          <w:rFonts w:hint="eastAsia" w:ascii="仿宋_GB2312" w:hAnsi="仿宋_GB2312" w:eastAsia="仿宋_GB2312" w:cs="仿宋_GB2312"/>
          <w:color w:val="auto"/>
          <w:sz w:val="32"/>
          <w:szCs w:val="32"/>
          <w:lang w:val="en-US" w:eastAsia="zh-CN"/>
        </w:rPr>
        <w:t>惠城区</w:t>
      </w:r>
      <w:r>
        <w:rPr>
          <w:rFonts w:hint="eastAsia" w:ascii="仿宋_GB2312" w:hAnsi="仿宋_GB2312" w:eastAsia="仿宋_GB2312" w:cs="仿宋_GB2312"/>
          <w:color w:val="auto"/>
          <w:sz w:val="32"/>
          <w:szCs w:val="32"/>
        </w:rPr>
        <w:t>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地址：惠州市</w:t>
      </w:r>
      <w:r>
        <w:rPr>
          <w:rFonts w:hint="eastAsia" w:ascii="仿宋_GB2312" w:hAnsi="仿宋_GB2312" w:eastAsia="仿宋_GB2312" w:cs="仿宋_GB2312"/>
          <w:color w:val="auto"/>
          <w:sz w:val="32"/>
          <w:szCs w:val="32"/>
          <w:lang w:val="en-US" w:eastAsia="zh-CN"/>
        </w:rPr>
        <w:t>下埔路16号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陈先生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联系电话：（0752）</w:t>
      </w:r>
      <w:r>
        <w:rPr>
          <w:rFonts w:hint="eastAsia" w:ascii="仿宋_GB2312" w:hAnsi="仿宋_GB2312" w:eastAsia="仿宋_GB2312" w:cs="仿宋_GB2312"/>
          <w:color w:val="auto"/>
          <w:sz w:val="32"/>
          <w:szCs w:val="32"/>
          <w:lang w:val="en-US" w:eastAsia="zh-CN"/>
        </w:rPr>
        <w:t>2117378</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惠州市公共资源交易中心土地矿业交易部</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联系地址：广东省惠州市</w:t>
      </w:r>
      <w:r>
        <w:rPr>
          <w:rFonts w:hint="eastAsia" w:ascii="仿宋_GB2312" w:hAnsi="仿宋_GB2312" w:eastAsia="仿宋_GB2312" w:cs="仿宋_GB2312"/>
          <w:color w:val="auto"/>
          <w:sz w:val="32"/>
          <w:szCs w:val="32"/>
          <w:lang w:val="en-US" w:eastAsia="zh-CN"/>
        </w:rPr>
        <w:t>惠城区三新北路31号市民服务中心3号楼</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联系人：袁小姐、</w:t>
      </w:r>
      <w:r>
        <w:rPr>
          <w:rFonts w:hint="eastAsia" w:ascii="仿宋_GB2312" w:hAnsi="仿宋_GB2312" w:eastAsia="仿宋_GB2312" w:cs="仿宋_GB2312"/>
          <w:color w:val="auto"/>
          <w:sz w:val="32"/>
          <w:szCs w:val="32"/>
          <w:lang w:eastAsia="zh-CN"/>
        </w:rPr>
        <w:t>白</w:t>
      </w:r>
      <w:r>
        <w:rPr>
          <w:rFonts w:hint="eastAsia" w:ascii="仿宋_GB2312" w:hAnsi="仿宋_GB2312" w:eastAsia="仿宋_GB2312" w:cs="仿宋_GB2312"/>
          <w:color w:val="auto"/>
          <w:sz w:val="32"/>
          <w:szCs w:val="32"/>
        </w:rPr>
        <w:t>小姐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联系电话：（0752）</w:t>
      </w:r>
      <w:r>
        <w:rPr>
          <w:rFonts w:hint="eastAsia" w:ascii="仿宋_GB2312" w:hAnsi="仿宋_GB2312" w:eastAsia="仿宋_GB2312" w:cs="仿宋_GB2312"/>
          <w:color w:val="auto"/>
          <w:sz w:val="32"/>
          <w:szCs w:val="32"/>
          <w:lang w:val="en-US" w:eastAsia="zh-CN"/>
        </w:rPr>
        <w:t>7121026、7121036</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注：本公告同时在下列网站及场所发布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中国土地市场网: </w:t>
      </w:r>
      <w:r>
        <w:rPr>
          <w:rFonts w:hint="eastAsia" w:ascii="仿宋_GB2312" w:hAnsi="仿宋_GB2312" w:eastAsia="仿宋_GB2312" w:cs="仿宋_GB2312"/>
          <w:color w:val="auto"/>
          <w:sz w:val="32"/>
          <w:szCs w:val="32"/>
          <w:u w:val="none"/>
        </w:rPr>
        <w:fldChar w:fldCharType="begin"/>
      </w:r>
      <w:r>
        <w:rPr>
          <w:rFonts w:hint="eastAsia" w:ascii="仿宋_GB2312" w:hAnsi="仿宋_GB2312" w:eastAsia="仿宋_GB2312" w:cs="仿宋_GB2312"/>
          <w:color w:val="auto"/>
          <w:sz w:val="32"/>
          <w:szCs w:val="32"/>
          <w:u w:val="none"/>
        </w:rPr>
        <w:instrText xml:space="preserve"> HYPERLINK "http://www.landchina.com" </w:instrText>
      </w:r>
      <w:r>
        <w:rPr>
          <w:rFonts w:hint="eastAsia" w:ascii="仿宋_GB2312" w:hAnsi="仿宋_GB2312" w:eastAsia="仿宋_GB2312" w:cs="仿宋_GB2312"/>
          <w:color w:val="auto"/>
          <w:sz w:val="32"/>
          <w:szCs w:val="32"/>
          <w:u w:val="none"/>
        </w:rPr>
        <w:fldChar w:fldCharType="separate"/>
      </w:r>
      <w:r>
        <w:rPr>
          <w:rStyle w:val="10"/>
          <w:rFonts w:hint="eastAsia" w:ascii="仿宋_GB2312" w:hAnsi="仿宋_GB2312" w:eastAsia="仿宋_GB2312" w:cs="仿宋_GB2312"/>
          <w:color w:val="auto"/>
          <w:sz w:val="32"/>
          <w:szCs w:val="32"/>
          <w:u w:val="none"/>
        </w:rPr>
        <w:t>http://www.landchina.com</w:t>
      </w:r>
      <w:r>
        <w:rPr>
          <w:rFonts w:hint="eastAsia" w:ascii="仿宋_GB2312" w:hAnsi="仿宋_GB2312" w:eastAsia="仿宋_GB2312" w:cs="仿宋_GB2312"/>
          <w:color w:val="auto"/>
          <w:sz w:val="32"/>
          <w:szCs w:val="32"/>
          <w:u w:val="none"/>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惠州市自然资源局网站：</w:t>
      </w:r>
      <w:r>
        <w:rPr>
          <w:rFonts w:hint="eastAsia" w:ascii="仿宋_GB2312" w:hAnsi="仿宋_GB2312" w:eastAsia="仿宋_GB2312" w:cs="仿宋_GB2312"/>
          <w:color w:val="auto"/>
          <w:sz w:val="32"/>
          <w:szCs w:val="32"/>
          <w:u w:val="none"/>
        </w:rPr>
        <w:fldChar w:fldCharType="begin"/>
      </w:r>
      <w:r>
        <w:rPr>
          <w:rFonts w:hint="eastAsia" w:ascii="仿宋_GB2312" w:hAnsi="仿宋_GB2312" w:eastAsia="仿宋_GB2312" w:cs="仿宋_GB2312"/>
          <w:color w:val="auto"/>
          <w:sz w:val="32"/>
          <w:szCs w:val="32"/>
          <w:u w:val="none"/>
        </w:rPr>
        <w:instrText xml:space="preserve"> HYPERLINK "http://land.huizhou.gov.cn" </w:instrText>
      </w:r>
      <w:r>
        <w:rPr>
          <w:rFonts w:hint="eastAsia" w:ascii="仿宋_GB2312" w:hAnsi="仿宋_GB2312" w:eastAsia="仿宋_GB2312" w:cs="仿宋_GB2312"/>
          <w:color w:val="auto"/>
          <w:sz w:val="32"/>
          <w:szCs w:val="32"/>
          <w:u w:val="none"/>
        </w:rPr>
        <w:fldChar w:fldCharType="separate"/>
      </w:r>
      <w:r>
        <w:rPr>
          <w:rStyle w:val="10"/>
          <w:rFonts w:hint="eastAsia" w:ascii="仿宋_GB2312" w:hAnsi="仿宋_GB2312" w:eastAsia="仿宋_GB2312" w:cs="仿宋_GB2312"/>
          <w:color w:val="auto"/>
          <w:sz w:val="32"/>
          <w:szCs w:val="32"/>
          <w:u w:val="none"/>
        </w:rPr>
        <w:t>http://land.huizhou.gov.cn</w:t>
      </w:r>
      <w:r>
        <w:rPr>
          <w:rFonts w:hint="eastAsia" w:ascii="仿宋_GB2312" w:hAnsi="仿宋_GB2312" w:eastAsia="仿宋_GB2312" w:cs="仿宋_GB2312"/>
          <w:color w:val="auto"/>
          <w:sz w:val="32"/>
          <w:szCs w:val="32"/>
          <w:u w:val="none"/>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惠州市公共资源交易中心网：</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"http://zyjy.huizhou.gov.cn"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http://zyjy.huizhou.gov.cn</w:t>
      </w:r>
      <w:r>
        <w:rPr>
          <w:rFonts w:hint="eastAsia" w:ascii="仿宋_GB2312" w:hAnsi="仿宋_GB2312" w:eastAsia="仿宋_GB2312" w:cs="仿宋_GB2312"/>
          <w:color w:val="auto"/>
          <w:sz w:val="32"/>
          <w:szCs w:val="32"/>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惠州市公共资源交易中心交易大厅现场。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ascii="宋体" w:hAnsi="宋体" w:cs="宋体"/>
          <w:color w:val="auto"/>
          <w:sz w:val="32"/>
          <w:szCs w:val="32"/>
        </w:rPr>
      </w:pPr>
      <w:r>
        <w:rPr>
          <w:rFonts w:hint="eastAsia" w:ascii="仿宋_GB2312" w:hAnsi="仿宋_GB2312" w:eastAsia="仿宋_GB2312" w:cs="仿宋_GB2312"/>
          <w:color w:val="auto"/>
          <w:sz w:val="32"/>
          <w:szCs w:val="32"/>
        </w:rPr>
        <w:t>数字证书办理地址：</w:t>
      </w:r>
      <w:r>
        <w:rPr>
          <w:rFonts w:ascii="仿宋_GB2312" w:eastAsia="仿宋_GB2312" w:cs="仿宋_GB2312"/>
          <w:color w:val="auto"/>
          <w:sz w:val="31"/>
          <w:szCs w:val="31"/>
        </w:rPr>
        <w:t>广东省惠州市</w:t>
      </w:r>
      <w:r>
        <w:rPr>
          <w:rFonts w:hint="default" w:ascii="仿宋_GB2312" w:eastAsia="仿宋_GB2312" w:cs="仿宋_GB2312"/>
          <w:color w:val="auto"/>
          <w:sz w:val="31"/>
          <w:szCs w:val="31"/>
        </w:rPr>
        <w:t>惠城区三新北路31号市民服务中心3号楼惠州市公共资源交易中心一楼大厅1号土地与矿业交易窗口。</w:t>
      </w:r>
    </w:p>
    <w:p>
      <w:pPr>
        <w:keepNext w:val="0"/>
        <w:keepLines w:val="0"/>
        <w:pageBreakBefore w:val="0"/>
        <w:widowControl w:val="0"/>
        <w:kinsoku/>
        <w:wordWrap/>
        <w:overflowPunct/>
        <w:topLinePunct w:val="0"/>
        <w:autoSpaceDE/>
        <w:autoSpaceDN/>
        <w:bidi w:val="0"/>
        <w:spacing w:line="560" w:lineRule="exact"/>
        <w:ind w:firstLine="555"/>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联系电话：0752-</w:t>
      </w:r>
      <w:r>
        <w:rPr>
          <w:rFonts w:hint="eastAsia" w:ascii="仿宋_GB2312" w:hAnsi="仿宋_GB2312" w:eastAsia="仿宋_GB2312" w:cs="仿宋_GB2312"/>
          <w:color w:val="auto"/>
          <w:sz w:val="32"/>
          <w:szCs w:val="32"/>
          <w:lang w:val="en-US" w:eastAsia="zh-CN"/>
        </w:rPr>
        <w:t>7121029</w:t>
      </w:r>
    </w:p>
    <w:p>
      <w:pPr>
        <w:keepNext w:val="0"/>
        <w:keepLines w:val="0"/>
        <w:pageBreakBefore w:val="0"/>
        <w:widowControl w:val="0"/>
        <w:kinsoku/>
        <w:wordWrap/>
        <w:overflowPunct/>
        <w:topLinePunct w:val="0"/>
        <w:autoSpaceDE/>
        <w:autoSpaceDN/>
        <w:bidi w:val="0"/>
        <w:spacing w:line="560" w:lineRule="exact"/>
        <w:ind w:right="64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spacing w:line="560" w:lineRule="exact"/>
        <w:ind w:right="640" w:firstLine="5033" w:firstLineChars="1573"/>
        <w:textAlignment w:val="auto"/>
        <w:rPr>
          <w:rFonts w:hint="eastAsia" w:ascii="仿宋_GB2312" w:hAnsi="仿宋_GB2312" w:eastAsia="仿宋_GB2312" w:cs="仿宋_GB2312"/>
          <w:color w:val="auto"/>
          <w:sz w:val="32"/>
          <w:szCs w:val="32"/>
        </w:rPr>
      </w:pPr>
    </w:p>
    <w:p>
      <w:pPr>
        <w:pStyle w:val="2"/>
        <w:rPr>
          <w:rFonts w:hint="eastAsia"/>
          <w:color w:val="auto"/>
        </w:rPr>
      </w:pPr>
    </w:p>
    <w:p>
      <w:pPr>
        <w:spacing w:line="360" w:lineRule="auto"/>
        <w:jc w:val="center"/>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w:t>
      </w:r>
      <w:r>
        <w:rPr>
          <w:rFonts w:hint="eastAsia" w:ascii="仿宋_GB2312" w:hAnsi="仿宋_GB2312" w:eastAsia="仿宋_GB2312" w:cs="仿宋_GB2312"/>
          <w:color w:val="auto"/>
          <w:sz w:val="32"/>
          <w:szCs w:val="32"/>
          <w:lang w:eastAsia="zh-CN"/>
        </w:rPr>
        <w:t>惠城区</w:t>
      </w:r>
      <w:r>
        <w:rPr>
          <w:rFonts w:hint="eastAsia" w:ascii="仿宋_GB2312" w:hAnsi="仿宋_GB2312" w:eastAsia="仿宋_GB2312" w:cs="仿宋_GB2312"/>
          <w:color w:val="auto"/>
          <w:sz w:val="32"/>
          <w:szCs w:val="32"/>
        </w:rPr>
        <w:t>自然资源局</w:t>
      </w:r>
    </w:p>
    <w:p>
      <w:pPr>
        <w:spacing w:line="360" w:lineRule="auto"/>
        <w:jc w:val="center"/>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p>
    <w:p>
      <w:pPr>
        <w:spacing w:line="360" w:lineRule="auto"/>
        <w:ind w:firstLine="5120" w:firstLineChars="1600"/>
        <w:jc w:val="both"/>
        <w:rPr>
          <w:rFonts w:hint="default" w:ascii="仿宋_GB2312" w:hAnsi="仿宋_GB2312" w:eastAsia="仿宋_GB2312" w:cs="仿宋_GB2312"/>
          <w:color w:val="auto"/>
          <w:sz w:val="32"/>
          <w:szCs w:val="3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color w:val="auto"/>
          <w:sz w:val="32"/>
          <w:szCs w:val="32"/>
          <w:lang w:val="en-US" w:eastAsia="zh-CN"/>
        </w:rPr>
        <w:t>2022年3月9日</w:t>
      </w:r>
    </w:p>
    <w:p>
      <w:pPr>
        <w:spacing w:line="360" w:lineRule="auto"/>
        <w:rPr>
          <w:rFonts w:hint="eastAsia" w:ascii="黑体" w:hAnsi="黑体" w:eastAsia="黑体"/>
          <w:color w:val="auto"/>
          <w:sz w:val="32"/>
          <w:szCs w:val="32"/>
        </w:rPr>
      </w:pPr>
      <w:r>
        <w:rPr>
          <w:rFonts w:hint="eastAsia" w:ascii="黑体" w:hAnsi="黑体" w:eastAsia="黑体"/>
          <w:color w:val="auto"/>
          <w:sz w:val="32"/>
          <w:szCs w:val="32"/>
        </w:rPr>
        <w:t>附表</w:t>
      </w:r>
    </w:p>
    <w:p>
      <w:pPr>
        <w:tabs>
          <w:tab w:val="left" w:pos="9720"/>
        </w:tabs>
        <w:spacing w:line="360" w:lineRule="auto"/>
        <w:jc w:val="center"/>
        <w:outlineLvl w:val="0"/>
        <w:rPr>
          <w:rFonts w:hint="eastAsia" w:ascii="方正小标宋_GBK" w:eastAsia="方正小标宋_GBK"/>
          <w:b/>
          <w:color w:val="auto"/>
          <w:sz w:val="36"/>
          <w:szCs w:val="36"/>
        </w:rPr>
      </w:pPr>
      <w:r>
        <w:rPr>
          <w:rFonts w:hint="eastAsia" w:ascii="方正小标宋_GBK" w:eastAsia="方正小标宋_GBK"/>
          <w:b/>
          <w:color w:val="auto"/>
          <w:sz w:val="36"/>
          <w:szCs w:val="36"/>
        </w:rPr>
        <w:t>网上挂牌出让地块规划建设指标</w:t>
      </w:r>
    </w:p>
    <w:p>
      <w:pPr>
        <w:pStyle w:val="2"/>
        <w:rPr>
          <w:rFonts w:hint="eastAsia"/>
          <w:color w:val="auto"/>
        </w:rPr>
      </w:pPr>
    </w:p>
    <w:tbl>
      <w:tblPr>
        <w:tblStyle w:val="7"/>
        <w:tblW w:w="10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690"/>
        <w:gridCol w:w="615"/>
        <w:gridCol w:w="570"/>
        <w:gridCol w:w="774"/>
        <w:gridCol w:w="948"/>
        <w:gridCol w:w="720"/>
        <w:gridCol w:w="672"/>
        <w:gridCol w:w="1650"/>
        <w:gridCol w:w="1087"/>
        <w:gridCol w:w="900"/>
        <w:gridCol w:w="979"/>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05" w:type="dxa"/>
            <w:vMerge w:val="restart"/>
            <w:vAlign w:val="center"/>
          </w:tcPr>
          <w:p>
            <w:pPr>
              <w:spacing w:line="320" w:lineRule="exact"/>
              <w:jc w:val="center"/>
              <w:rPr>
                <w:rFonts w:hint="eastAsia" w:ascii="仿宋_GB2312" w:eastAsia="仿宋_GB2312"/>
                <w:b/>
                <w:bCs/>
                <w:color w:val="auto"/>
                <w:szCs w:val="21"/>
              </w:rPr>
            </w:pPr>
            <w:r>
              <w:rPr>
                <w:rFonts w:hint="eastAsia" w:ascii="仿宋_GB2312" w:eastAsia="仿宋_GB2312"/>
                <w:b/>
                <w:bCs/>
                <w:color w:val="auto"/>
                <w:szCs w:val="21"/>
              </w:rPr>
              <w:t>挂牌地块编号</w:t>
            </w:r>
          </w:p>
        </w:tc>
        <w:tc>
          <w:tcPr>
            <w:tcW w:w="690" w:type="dxa"/>
            <w:vMerge w:val="restart"/>
            <w:vAlign w:val="center"/>
          </w:tcPr>
          <w:p>
            <w:pPr>
              <w:spacing w:line="320" w:lineRule="exact"/>
              <w:jc w:val="center"/>
              <w:rPr>
                <w:rFonts w:hint="eastAsia" w:ascii="仿宋_GB2312" w:eastAsia="仿宋_GB2312"/>
                <w:b/>
                <w:bCs/>
                <w:color w:val="auto"/>
                <w:szCs w:val="21"/>
                <w:lang w:eastAsia="zh-CN"/>
              </w:rPr>
            </w:pPr>
            <w:r>
              <w:rPr>
                <w:rFonts w:hint="eastAsia" w:ascii="仿宋_GB2312" w:eastAsia="仿宋_GB2312"/>
                <w:b/>
                <w:bCs/>
                <w:color w:val="auto"/>
                <w:szCs w:val="21"/>
                <w:lang w:eastAsia="zh-CN"/>
              </w:rPr>
              <w:t>地块</w:t>
            </w:r>
          </w:p>
          <w:p>
            <w:pPr>
              <w:spacing w:line="320" w:lineRule="exact"/>
              <w:jc w:val="center"/>
              <w:rPr>
                <w:rFonts w:hint="eastAsia" w:ascii="仿宋_GB2312" w:eastAsia="仿宋_GB2312"/>
                <w:b/>
                <w:bCs/>
                <w:color w:val="auto"/>
                <w:szCs w:val="21"/>
              </w:rPr>
            </w:pPr>
            <w:r>
              <w:rPr>
                <w:rFonts w:hint="eastAsia" w:ascii="仿宋_GB2312" w:eastAsia="仿宋_GB2312"/>
                <w:b/>
                <w:bCs/>
                <w:color w:val="auto"/>
                <w:szCs w:val="21"/>
              </w:rPr>
              <w:t>位置</w:t>
            </w:r>
          </w:p>
        </w:tc>
        <w:tc>
          <w:tcPr>
            <w:tcW w:w="615" w:type="dxa"/>
            <w:vMerge w:val="restart"/>
            <w:vAlign w:val="center"/>
          </w:tcPr>
          <w:p>
            <w:pPr>
              <w:adjustRightInd w:val="0"/>
              <w:snapToGrid w:val="0"/>
              <w:spacing w:line="320" w:lineRule="exact"/>
              <w:jc w:val="center"/>
              <w:rPr>
                <w:rFonts w:hint="eastAsia" w:ascii="仿宋_GB2312" w:eastAsia="仿宋_GB2312"/>
                <w:b/>
                <w:bCs/>
                <w:color w:val="auto"/>
                <w:szCs w:val="21"/>
              </w:rPr>
            </w:pPr>
            <w:r>
              <w:rPr>
                <w:rFonts w:hint="eastAsia" w:ascii="仿宋_GB2312" w:eastAsia="仿宋_GB2312"/>
                <w:b/>
                <w:bCs/>
                <w:color w:val="auto"/>
                <w:szCs w:val="21"/>
                <w:lang w:val="en-US" w:eastAsia="zh-CN"/>
              </w:rPr>
              <w:t>地块</w:t>
            </w:r>
            <w:r>
              <w:rPr>
                <w:rFonts w:hint="eastAsia" w:ascii="仿宋_GB2312" w:eastAsia="仿宋_GB2312"/>
                <w:b/>
                <w:bCs/>
                <w:color w:val="auto"/>
                <w:szCs w:val="21"/>
              </w:rPr>
              <w:t>编号</w:t>
            </w:r>
          </w:p>
        </w:tc>
        <w:tc>
          <w:tcPr>
            <w:tcW w:w="570" w:type="dxa"/>
            <w:vMerge w:val="restart"/>
            <w:vAlign w:val="center"/>
          </w:tcPr>
          <w:p>
            <w:pPr>
              <w:adjustRightInd w:val="0"/>
              <w:snapToGrid w:val="0"/>
              <w:spacing w:line="320" w:lineRule="exact"/>
              <w:jc w:val="center"/>
              <w:rPr>
                <w:rFonts w:hint="eastAsia" w:ascii="仿宋_GB2312" w:eastAsia="仿宋_GB2312"/>
                <w:b/>
                <w:bCs/>
                <w:color w:val="auto"/>
                <w:szCs w:val="21"/>
              </w:rPr>
            </w:pPr>
            <w:r>
              <w:rPr>
                <w:rFonts w:hint="eastAsia" w:ascii="仿宋_GB2312" w:eastAsia="仿宋_GB2312"/>
                <w:b/>
                <w:bCs/>
                <w:color w:val="auto"/>
                <w:szCs w:val="21"/>
              </w:rPr>
              <w:t>土地</w:t>
            </w:r>
          </w:p>
          <w:p>
            <w:pPr>
              <w:adjustRightInd w:val="0"/>
              <w:snapToGrid w:val="0"/>
              <w:spacing w:line="320" w:lineRule="exact"/>
              <w:jc w:val="center"/>
              <w:rPr>
                <w:rFonts w:hint="eastAsia" w:ascii="仿宋_GB2312" w:eastAsia="仿宋_GB2312"/>
                <w:b/>
                <w:bCs/>
                <w:color w:val="auto"/>
                <w:szCs w:val="21"/>
              </w:rPr>
            </w:pPr>
            <w:r>
              <w:rPr>
                <w:rFonts w:hint="eastAsia" w:ascii="仿宋_GB2312" w:eastAsia="仿宋_GB2312"/>
                <w:b/>
                <w:bCs/>
                <w:color w:val="auto"/>
                <w:szCs w:val="21"/>
              </w:rPr>
              <w:t>用途</w:t>
            </w:r>
          </w:p>
        </w:tc>
        <w:tc>
          <w:tcPr>
            <w:tcW w:w="774" w:type="dxa"/>
            <w:vMerge w:val="restart"/>
            <w:vAlign w:val="center"/>
          </w:tcPr>
          <w:p>
            <w:pPr>
              <w:spacing w:line="320" w:lineRule="exact"/>
              <w:jc w:val="center"/>
              <w:rPr>
                <w:rFonts w:hint="eastAsia" w:ascii="仿宋_GB2312" w:eastAsia="仿宋_GB2312"/>
                <w:b/>
                <w:bCs/>
                <w:color w:val="auto"/>
                <w:szCs w:val="21"/>
              </w:rPr>
            </w:pPr>
            <w:r>
              <w:rPr>
                <w:rFonts w:hint="eastAsia" w:ascii="仿宋_GB2312" w:eastAsia="仿宋_GB2312"/>
                <w:b/>
                <w:bCs/>
                <w:color w:val="auto"/>
                <w:szCs w:val="21"/>
              </w:rPr>
              <w:t>宗地使用权面积（</w:t>
            </w:r>
            <w:r>
              <w:rPr>
                <w:rFonts w:hint="eastAsia" w:ascii="宋体" w:hAnsi="宋体" w:cs="宋体"/>
                <w:b/>
                <w:bCs/>
                <w:color w:val="auto"/>
                <w:szCs w:val="21"/>
              </w:rPr>
              <w:t>㎡</w:t>
            </w:r>
            <w:r>
              <w:rPr>
                <w:rFonts w:hint="eastAsia" w:ascii="仿宋_GB2312" w:eastAsia="仿宋_GB2312"/>
                <w:b/>
                <w:bCs/>
                <w:color w:val="auto"/>
                <w:szCs w:val="21"/>
              </w:rPr>
              <w:t>）</w:t>
            </w:r>
          </w:p>
        </w:tc>
        <w:tc>
          <w:tcPr>
            <w:tcW w:w="6956" w:type="dxa"/>
            <w:gridSpan w:val="7"/>
            <w:vAlign w:val="center"/>
          </w:tcPr>
          <w:p>
            <w:pPr>
              <w:adjustRightInd w:val="0"/>
              <w:snapToGrid w:val="0"/>
              <w:spacing w:line="320" w:lineRule="exact"/>
              <w:ind w:left="1" w:leftChars="-89" w:hanging="188" w:hangingChars="89"/>
              <w:jc w:val="center"/>
              <w:rPr>
                <w:rFonts w:hint="eastAsia" w:ascii="仿宋_GB2312" w:eastAsia="仿宋_GB2312"/>
                <w:b/>
                <w:bCs/>
                <w:color w:val="auto"/>
                <w:szCs w:val="21"/>
              </w:rPr>
            </w:pPr>
            <w:r>
              <w:rPr>
                <w:rFonts w:hint="eastAsia" w:ascii="仿宋_GB2312" w:eastAsia="仿宋_GB2312"/>
                <w:b/>
                <w:bCs/>
                <w:color w:val="auto"/>
                <w:szCs w:val="21"/>
              </w:rPr>
              <w:t>规划指标要求</w:t>
            </w:r>
          </w:p>
        </w:tc>
        <w:tc>
          <w:tcPr>
            <w:tcW w:w="670" w:type="dxa"/>
            <w:vMerge w:val="restart"/>
            <w:vAlign w:val="center"/>
          </w:tcPr>
          <w:p>
            <w:pPr>
              <w:autoSpaceDE w:val="0"/>
              <w:autoSpaceDN w:val="0"/>
              <w:adjustRightInd w:val="0"/>
              <w:spacing w:line="240" w:lineRule="exact"/>
              <w:jc w:val="center"/>
              <w:rPr>
                <w:rFonts w:hint="eastAsia" w:ascii="仿宋_GB2312" w:eastAsia="仿宋_GB2312"/>
                <w:b/>
                <w:bCs/>
                <w:color w:val="auto"/>
              </w:rPr>
            </w:pPr>
            <w:r>
              <w:rPr>
                <w:rFonts w:hint="eastAsia" w:ascii="仿宋_GB2312" w:eastAsia="仿宋_GB2312"/>
                <w:b/>
                <w:bCs/>
                <w:color w:val="auto"/>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705" w:type="dxa"/>
            <w:vMerge w:val="continue"/>
            <w:vAlign w:val="center"/>
          </w:tcPr>
          <w:p>
            <w:pPr>
              <w:adjustRightInd w:val="0"/>
              <w:snapToGrid w:val="0"/>
              <w:spacing w:line="320" w:lineRule="exact"/>
              <w:jc w:val="center"/>
              <w:rPr>
                <w:rFonts w:hint="eastAsia" w:ascii="仿宋_GB2312" w:eastAsia="仿宋_GB2312"/>
                <w:b/>
                <w:bCs/>
                <w:color w:val="auto"/>
              </w:rPr>
            </w:pPr>
          </w:p>
        </w:tc>
        <w:tc>
          <w:tcPr>
            <w:tcW w:w="690" w:type="dxa"/>
            <w:vMerge w:val="continue"/>
            <w:vAlign w:val="center"/>
          </w:tcPr>
          <w:p>
            <w:pPr>
              <w:adjustRightInd w:val="0"/>
              <w:snapToGrid w:val="0"/>
              <w:spacing w:line="320" w:lineRule="exact"/>
              <w:jc w:val="center"/>
              <w:rPr>
                <w:rFonts w:hint="eastAsia" w:ascii="仿宋_GB2312" w:eastAsia="仿宋_GB2312"/>
                <w:b/>
                <w:bCs/>
                <w:color w:val="auto"/>
              </w:rPr>
            </w:pPr>
          </w:p>
        </w:tc>
        <w:tc>
          <w:tcPr>
            <w:tcW w:w="615" w:type="dxa"/>
            <w:vMerge w:val="continue"/>
            <w:vAlign w:val="center"/>
          </w:tcPr>
          <w:p>
            <w:pPr>
              <w:adjustRightInd w:val="0"/>
              <w:snapToGrid w:val="0"/>
              <w:spacing w:line="320" w:lineRule="exact"/>
              <w:jc w:val="center"/>
              <w:rPr>
                <w:rFonts w:hint="eastAsia" w:ascii="仿宋_GB2312" w:eastAsia="仿宋_GB2312"/>
                <w:b/>
                <w:bCs/>
                <w:color w:val="auto"/>
              </w:rPr>
            </w:pPr>
          </w:p>
        </w:tc>
        <w:tc>
          <w:tcPr>
            <w:tcW w:w="570" w:type="dxa"/>
            <w:vMerge w:val="continue"/>
            <w:vAlign w:val="center"/>
          </w:tcPr>
          <w:p>
            <w:pPr>
              <w:adjustRightInd w:val="0"/>
              <w:snapToGrid w:val="0"/>
              <w:spacing w:line="320" w:lineRule="exact"/>
              <w:jc w:val="center"/>
              <w:rPr>
                <w:rFonts w:hint="eastAsia" w:ascii="仿宋_GB2312" w:eastAsia="仿宋_GB2312"/>
                <w:b/>
                <w:bCs/>
                <w:color w:val="auto"/>
              </w:rPr>
            </w:pPr>
          </w:p>
        </w:tc>
        <w:tc>
          <w:tcPr>
            <w:tcW w:w="774" w:type="dxa"/>
            <w:vMerge w:val="continue"/>
            <w:vAlign w:val="center"/>
          </w:tcPr>
          <w:p>
            <w:pPr>
              <w:adjustRightInd w:val="0"/>
              <w:snapToGrid w:val="0"/>
              <w:spacing w:line="320" w:lineRule="exact"/>
              <w:jc w:val="center"/>
              <w:rPr>
                <w:rFonts w:hint="eastAsia" w:ascii="仿宋_GB2312" w:eastAsia="仿宋_GB2312"/>
                <w:b/>
                <w:bCs/>
                <w:color w:val="auto"/>
              </w:rPr>
            </w:pPr>
          </w:p>
        </w:tc>
        <w:tc>
          <w:tcPr>
            <w:tcW w:w="948" w:type="dxa"/>
            <w:vAlign w:val="center"/>
          </w:tcPr>
          <w:p>
            <w:pPr>
              <w:spacing w:line="320" w:lineRule="exact"/>
              <w:jc w:val="center"/>
              <w:rPr>
                <w:rFonts w:hint="eastAsia" w:ascii="仿宋_GB2312" w:eastAsia="仿宋_GB2312"/>
                <w:b/>
                <w:bCs/>
                <w:color w:val="auto"/>
                <w:szCs w:val="21"/>
              </w:rPr>
            </w:pPr>
            <w:r>
              <w:rPr>
                <w:rFonts w:hint="eastAsia" w:ascii="仿宋_GB2312" w:eastAsia="仿宋_GB2312"/>
                <w:b/>
                <w:bCs/>
                <w:color w:val="auto"/>
                <w:szCs w:val="21"/>
              </w:rPr>
              <w:t>计算指标用地面积（</w:t>
            </w:r>
            <w:r>
              <w:rPr>
                <w:rFonts w:hint="eastAsia" w:ascii="宋体" w:hAnsi="宋体" w:cs="宋体"/>
                <w:b/>
                <w:bCs/>
                <w:color w:val="auto"/>
                <w:szCs w:val="21"/>
              </w:rPr>
              <w:t>㎡</w:t>
            </w:r>
            <w:r>
              <w:rPr>
                <w:rFonts w:hint="eastAsia" w:ascii="仿宋_GB2312" w:eastAsia="仿宋_GB2312"/>
                <w:b/>
                <w:bCs/>
                <w:color w:val="auto"/>
                <w:szCs w:val="21"/>
              </w:rPr>
              <w:t>）</w:t>
            </w:r>
          </w:p>
        </w:tc>
        <w:tc>
          <w:tcPr>
            <w:tcW w:w="720" w:type="dxa"/>
            <w:vAlign w:val="center"/>
          </w:tcPr>
          <w:p>
            <w:pPr>
              <w:autoSpaceDE w:val="0"/>
              <w:autoSpaceDN w:val="0"/>
              <w:adjustRightInd w:val="0"/>
              <w:spacing w:line="240" w:lineRule="exact"/>
              <w:jc w:val="center"/>
              <w:rPr>
                <w:rFonts w:hint="eastAsia" w:eastAsia="仿宋_GB2312"/>
                <w:b/>
                <w:color w:val="auto"/>
                <w:szCs w:val="21"/>
                <w:lang w:eastAsia="zh-CN"/>
              </w:rPr>
            </w:pPr>
            <w:r>
              <w:rPr>
                <w:rFonts w:hint="eastAsia" w:eastAsia="仿宋_GB2312"/>
                <w:b/>
                <w:color w:val="auto"/>
                <w:szCs w:val="21"/>
              </w:rPr>
              <w:t>建筑</w:t>
            </w:r>
            <w:r>
              <w:rPr>
                <w:rFonts w:hint="eastAsia" w:eastAsia="仿宋_GB2312"/>
                <w:b/>
                <w:color w:val="auto"/>
                <w:szCs w:val="21"/>
                <w:lang w:val="en-US" w:eastAsia="zh-CN"/>
              </w:rPr>
              <w:t>系数</w:t>
            </w:r>
          </w:p>
          <w:p>
            <w:pPr>
              <w:autoSpaceDE w:val="0"/>
              <w:autoSpaceDN w:val="0"/>
              <w:adjustRightInd w:val="0"/>
              <w:spacing w:line="240" w:lineRule="exact"/>
              <w:jc w:val="center"/>
              <w:rPr>
                <w:rFonts w:hint="eastAsia" w:ascii="仿宋_GB2312" w:eastAsia="仿宋_GB2312"/>
                <w:b/>
                <w:bCs/>
                <w:color w:val="auto"/>
                <w:szCs w:val="21"/>
              </w:rPr>
            </w:pPr>
            <w:r>
              <w:rPr>
                <w:rFonts w:hint="eastAsia" w:ascii="宋体" w:hAnsi="宋体" w:cs="宋体"/>
                <w:b/>
                <w:color w:val="auto"/>
                <w:szCs w:val="21"/>
              </w:rPr>
              <w:t>（％）</w:t>
            </w:r>
          </w:p>
        </w:tc>
        <w:tc>
          <w:tcPr>
            <w:tcW w:w="672" w:type="dxa"/>
            <w:vAlign w:val="center"/>
          </w:tcPr>
          <w:p>
            <w:pPr>
              <w:autoSpaceDE w:val="0"/>
              <w:autoSpaceDN w:val="0"/>
              <w:adjustRightInd w:val="0"/>
              <w:spacing w:line="240" w:lineRule="exact"/>
              <w:jc w:val="center"/>
              <w:rPr>
                <w:rFonts w:hint="eastAsia" w:ascii="仿宋_GB2312" w:eastAsia="仿宋_GB2312"/>
                <w:b/>
                <w:bCs/>
                <w:color w:val="auto"/>
                <w:szCs w:val="21"/>
              </w:rPr>
            </w:pPr>
            <w:r>
              <w:rPr>
                <w:rFonts w:hint="eastAsia" w:ascii="仿宋_GB2312" w:eastAsia="仿宋_GB2312"/>
                <w:b/>
                <w:bCs/>
                <w:color w:val="auto"/>
                <w:szCs w:val="21"/>
              </w:rPr>
              <w:t>容积率</w:t>
            </w:r>
          </w:p>
        </w:tc>
        <w:tc>
          <w:tcPr>
            <w:tcW w:w="1650" w:type="dxa"/>
            <w:vAlign w:val="center"/>
          </w:tcPr>
          <w:p>
            <w:pPr>
              <w:spacing w:line="320" w:lineRule="exact"/>
              <w:ind w:left="44" w:right="-53" w:rightChars="-25" w:hanging="44" w:hangingChars="21"/>
              <w:jc w:val="center"/>
              <w:rPr>
                <w:rFonts w:hint="eastAsia" w:ascii="仿宋_GB2312" w:eastAsia="仿宋_GB2312"/>
                <w:b/>
                <w:bCs/>
                <w:color w:val="auto"/>
                <w:szCs w:val="21"/>
              </w:rPr>
            </w:pPr>
            <w:r>
              <w:rPr>
                <w:rFonts w:hint="eastAsia" w:ascii="仿宋_GB2312" w:eastAsia="仿宋_GB2312"/>
                <w:b/>
                <w:bCs/>
                <w:color w:val="auto"/>
                <w:szCs w:val="21"/>
              </w:rPr>
              <w:t>计容积率建筑面积（</w:t>
            </w:r>
            <w:r>
              <w:rPr>
                <w:rFonts w:hint="eastAsia" w:ascii="宋体" w:hAnsi="宋体" w:cs="宋体"/>
                <w:b/>
                <w:bCs/>
                <w:color w:val="auto"/>
                <w:szCs w:val="21"/>
              </w:rPr>
              <w:t>㎡</w:t>
            </w:r>
            <w:r>
              <w:rPr>
                <w:rFonts w:hint="eastAsia" w:ascii="仿宋_GB2312" w:eastAsia="仿宋_GB2312"/>
                <w:b/>
                <w:bCs/>
                <w:color w:val="auto"/>
                <w:szCs w:val="21"/>
              </w:rPr>
              <w:t>）</w:t>
            </w:r>
          </w:p>
        </w:tc>
        <w:tc>
          <w:tcPr>
            <w:tcW w:w="1087" w:type="dxa"/>
            <w:vAlign w:val="center"/>
          </w:tcPr>
          <w:p>
            <w:pPr>
              <w:autoSpaceDE w:val="0"/>
              <w:autoSpaceDN w:val="0"/>
              <w:adjustRightInd w:val="0"/>
              <w:spacing w:line="240" w:lineRule="exact"/>
              <w:jc w:val="center"/>
              <w:rPr>
                <w:rFonts w:hint="eastAsia" w:ascii="仿宋_GB2312" w:eastAsia="仿宋_GB2312"/>
                <w:b/>
                <w:bCs/>
                <w:color w:val="auto"/>
              </w:rPr>
            </w:pPr>
            <w:r>
              <w:rPr>
                <w:rFonts w:hint="eastAsia" w:eastAsia="仿宋_GB2312"/>
                <w:b/>
                <w:color w:val="auto"/>
                <w:szCs w:val="21"/>
              </w:rPr>
              <w:t>机动车停车位配建标准</w:t>
            </w:r>
          </w:p>
        </w:tc>
        <w:tc>
          <w:tcPr>
            <w:tcW w:w="900" w:type="dxa"/>
            <w:vAlign w:val="center"/>
          </w:tcPr>
          <w:p>
            <w:pPr>
              <w:autoSpaceDE w:val="0"/>
              <w:autoSpaceDN w:val="0"/>
              <w:adjustRightInd w:val="0"/>
              <w:spacing w:line="240" w:lineRule="exact"/>
              <w:jc w:val="center"/>
              <w:rPr>
                <w:rFonts w:hint="eastAsia" w:eastAsia="仿宋_GB2312"/>
                <w:b/>
                <w:color w:val="auto"/>
                <w:szCs w:val="21"/>
              </w:rPr>
            </w:pPr>
            <w:r>
              <w:rPr>
                <w:rFonts w:hint="eastAsia" w:eastAsia="仿宋_GB2312"/>
                <w:b/>
                <w:color w:val="auto"/>
                <w:szCs w:val="21"/>
              </w:rPr>
              <w:t>绿地率</w:t>
            </w:r>
          </w:p>
          <w:p>
            <w:pPr>
              <w:autoSpaceDE w:val="0"/>
              <w:autoSpaceDN w:val="0"/>
              <w:adjustRightInd w:val="0"/>
              <w:spacing w:line="240" w:lineRule="exact"/>
              <w:jc w:val="center"/>
              <w:rPr>
                <w:rFonts w:hint="eastAsia" w:eastAsia="仿宋_GB2312"/>
                <w:b/>
                <w:color w:val="auto"/>
                <w:szCs w:val="21"/>
              </w:rPr>
            </w:pPr>
            <w:r>
              <w:rPr>
                <w:rFonts w:hint="eastAsia" w:ascii="宋体" w:hAnsi="宋体" w:cs="宋体"/>
                <w:b/>
                <w:color w:val="auto"/>
                <w:szCs w:val="21"/>
              </w:rPr>
              <w:t>（％）</w:t>
            </w:r>
          </w:p>
        </w:tc>
        <w:tc>
          <w:tcPr>
            <w:tcW w:w="979" w:type="dxa"/>
            <w:vAlign w:val="center"/>
          </w:tcPr>
          <w:p>
            <w:pPr>
              <w:autoSpaceDE w:val="0"/>
              <w:autoSpaceDN w:val="0"/>
              <w:adjustRightInd w:val="0"/>
              <w:spacing w:line="240" w:lineRule="exact"/>
              <w:jc w:val="center"/>
              <w:rPr>
                <w:rFonts w:hint="eastAsia" w:ascii="仿宋_GB2312" w:eastAsia="仿宋_GB2312"/>
                <w:b/>
                <w:bCs/>
                <w:color w:val="auto"/>
                <w:szCs w:val="21"/>
                <w:lang w:eastAsia="zh-CN"/>
              </w:rPr>
            </w:pPr>
            <w:r>
              <w:rPr>
                <w:rFonts w:hint="eastAsia" w:ascii="仿宋_GB2312" w:eastAsia="仿宋_GB2312"/>
                <w:b/>
                <w:bCs/>
                <w:color w:val="auto"/>
                <w:szCs w:val="21"/>
                <w:lang w:eastAsia="zh-CN"/>
              </w:rPr>
              <w:t>产业</w:t>
            </w:r>
          </w:p>
          <w:p>
            <w:pPr>
              <w:autoSpaceDE w:val="0"/>
              <w:autoSpaceDN w:val="0"/>
              <w:adjustRightInd w:val="0"/>
              <w:spacing w:line="240" w:lineRule="exact"/>
              <w:jc w:val="center"/>
              <w:rPr>
                <w:rFonts w:hint="eastAsia" w:ascii="仿宋_GB2312" w:eastAsia="仿宋_GB2312"/>
                <w:b/>
                <w:bCs/>
                <w:color w:val="auto"/>
                <w:lang w:eastAsia="zh-CN"/>
              </w:rPr>
            </w:pPr>
            <w:r>
              <w:rPr>
                <w:rFonts w:hint="eastAsia" w:ascii="仿宋_GB2312" w:eastAsia="仿宋_GB2312"/>
                <w:b/>
                <w:bCs/>
                <w:color w:val="auto"/>
                <w:szCs w:val="21"/>
                <w:lang w:eastAsia="zh-CN"/>
              </w:rPr>
              <w:t>类型</w:t>
            </w:r>
          </w:p>
        </w:tc>
        <w:tc>
          <w:tcPr>
            <w:tcW w:w="670" w:type="dxa"/>
            <w:vMerge w:val="continue"/>
            <w:vAlign w:val="center"/>
          </w:tcPr>
          <w:p>
            <w:pPr>
              <w:autoSpaceDE w:val="0"/>
              <w:autoSpaceDN w:val="0"/>
              <w:adjustRightInd w:val="0"/>
              <w:spacing w:line="240" w:lineRule="exact"/>
              <w:jc w:val="center"/>
              <w:rPr>
                <w:rFonts w:hint="eastAsia" w:ascii="仿宋_GB2312" w:eastAsia="仿宋_GB2312"/>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6" w:hRule="atLeast"/>
          <w:jc w:val="center"/>
        </w:trPr>
        <w:tc>
          <w:tcPr>
            <w:tcW w:w="705" w:type="dxa"/>
            <w:tcMar>
              <w:left w:w="0" w:type="dxa"/>
              <w:right w:w="0" w:type="dxa"/>
            </w:tcMar>
            <w:vAlign w:val="center"/>
          </w:tcPr>
          <w:p>
            <w:pPr>
              <w:jc w:val="center"/>
              <w:rPr>
                <w:rFonts w:hint="default" w:ascii="仿宋_GB2312" w:hAnsi="Times New Roman" w:eastAsia="仿宋_GB2312"/>
                <w:color w:val="auto"/>
                <w:szCs w:val="21"/>
                <w:lang w:val="en-US" w:eastAsia="zh-CN"/>
              </w:rPr>
            </w:pPr>
            <w:bookmarkStart w:id="0" w:name="_GoBack"/>
            <w:r>
              <w:rPr>
                <w:rFonts w:hint="eastAsia" w:ascii="仿宋_GB2312" w:hAnsi="Times New Roman" w:eastAsia="仿宋_GB2312"/>
                <w:color w:val="auto"/>
                <w:szCs w:val="21"/>
                <w:lang w:val="en-US" w:eastAsia="zh-CN"/>
              </w:rPr>
              <w:t>GP2022-5</w:t>
            </w:r>
            <w:bookmarkEnd w:id="0"/>
          </w:p>
        </w:tc>
        <w:tc>
          <w:tcPr>
            <w:tcW w:w="690" w:type="dxa"/>
            <w:vAlign w:val="center"/>
          </w:tcPr>
          <w:p>
            <w:pPr>
              <w:jc w:val="both"/>
              <w:rPr>
                <w:rFonts w:hint="eastAsia" w:ascii="仿宋_GB2312" w:hAnsi="Times New Roman" w:eastAsia="仿宋_GB2312" w:cs="Times New Roman"/>
                <w:color w:val="auto"/>
                <w:szCs w:val="21"/>
                <w:lang w:val="en-US" w:eastAsia="zh-CN"/>
              </w:rPr>
            </w:pPr>
            <w:r>
              <w:rPr>
                <w:rFonts w:hint="eastAsia" w:ascii="仿宋_GB2312" w:hAnsi="Times New Roman" w:eastAsia="仿宋_GB2312" w:cs="Times New Roman"/>
                <w:color w:val="auto"/>
                <w:szCs w:val="21"/>
                <w:lang w:val="en-US" w:eastAsia="zh-CN"/>
              </w:rPr>
              <w:t>惠州市惠城区高新科技产业园南部片区C-08号</w:t>
            </w:r>
          </w:p>
          <w:p>
            <w:pPr>
              <w:jc w:val="center"/>
              <w:rPr>
                <w:rFonts w:hint="default" w:ascii="仿宋_GB2312" w:hAnsi="Times New Roman" w:eastAsia="仿宋_GB2312"/>
                <w:color w:val="auto"/>
                <w:szCs w:val="21"/>
                <w:lang w:val="en-US" w:eastAsia="zh-CN"/>
              </w:rPr>
            </w:pPr>
            <w:r>
              <w:rPr>
                <w:rFonts w:hint="eastAsia" w:ascii="仿宋_GB2312" w:hAnsi="Times New Roman" w:eastAsia="仿宋_GB2312" w:cs="Times New Roman"/>
                <w:color w:val="auto"/>
                <w:szCs w:val="21"/>
                <w:lang w:val="en-US" w:eastAsia="zh-CN"/>
              </w:rPr>
              <w:t>地块</w:t>
            </w:r>
          </w:p>
        </w:tc>
        <w:tc>
          <w:tcPr>
            <w:tcW w:w="615" w:type="dxa"/>
            <w:vAlign w:val="center"/>
          </w:tcPr>
          <w:p>
            <w:pPr>
              <w:jc w:val="center"/>
              <w:rPr>
                <w:rFonts w:hint="default" w:ascii="仿宋_GB2312" w:hAnsi="Times New Roman" w:eastAsia="仿宋_GB2312" w:cs="Times New Roman"/>
                <w:color w:val="auto"/>
                <w:szCs w:val="21"/>
                <w:lang w:val="en-US" w:eastAsia="zh-CN"/>
              </w:rPr>
            </w:pPr>
            <w:r>
              <w:rPr>
                <w:rFonts w:hint="eastAsia" w:ascii="仿宋_GB2312" w:hAnsi="Times New Roman" w:eastAsia="仿宋_GB2312" w:cs="Times New Roman"/>
                <w:color w:val="auto"/>
                <w:szCs w:val="21"/>
                <w:lang w:val="en-US" w:eastAsia="zh-CN"/>
              </w:rPr>
              <w:t>C-08</w:t>
            </w:r>
          </w:p>
        </w:tc>
        <w:tc>
          <w:tcPr>
            <w:tcW w:w="570" w:type="dxa"/>
            <w:tcMar>
              <w:left w:w="0" w:type="dxa"/>
              <w:right w:w="0" w:type="dxa"/>
            </w:tcMar>
            <w:vAlign w:val="center"/>
          </w:tcPr>
          <w:p>
            <w:pPr>
              <w:jc w:val="center"/>
              <w:rPr>
                <w:rFonts w:hint="eastAsia" w:ascii="仿宋_GB2312" w:hAnsi="Times New Roman" w:eastAsia="仿宋_GB2312" w:cs="Times New Roman"/>
                <w:color w:val="auto"/>
                <w:szCs w:val="21"/>
                <w:lang w:val="en-US" w:eastAsia="zh-CN"/>
              </w:rPr>
            </w:pPr>
            <w:r>
              <w:rPr>
                <w:rFonts w:hint="eastAsia" w:ascii="仿宋_GB2312" w:hAnsi="Times New Roman" w:eastAsia="仿宋_GB2312" w:cs="Times New Roman"/>
                <w:color w:val="auto"/>
                <w:szCs w:val="21"/>
                <w:lang w:val="en-US" w:eastAsia="zh-CN"/>
              </w:rPr>
              <w:t>一类工业用地</w:t>
            </w:r>
          </w:p>
        </w:tc>
        <w:tc>
          <w:tcPr>
            <w:tcW w:w="774" w:type="dxa"/>
            <w:vAlign w:val="center"/>
          </w:tcPr>
          <w:p>
            <w:pPr>
              <w:jc w:val="center"/>
              <w:rPr>
                <w:rFonts w:hint="default" w:ascii="仿宋_GB2312" w:hAnsi="Times New Roman" w:eastAsia="仿宋_GB2312" w:cs="Times New Roman"/>
                <w:color w:val="auto"/>
                <w:szCs w:val="21"/>
                <w:lang w:val="en-US" w:eastAsia="zh-CN"/>
              </w:rPr>
            </w:pPr>
            <w:r>
              <w:rPr>
                <w:rFonts w:hint="eastAsia" w:ascii="仿宋_GB2312" w:hAnsi="Times New Roman" w:eastAsia="仿宋_GB2312" w:cs="Times New Roman"/>
                <w:color w:val="auto"/>
                <w:szCs w:val="21"/>
                <w:lang w:val="en-US" w:eastAsia="zh-CN"/>
              </w:rPr>
              <w:t>47196.40</w:t>
            </w:r>
          </w:p>
        </w:tc>
        <w:tc>
          <w:tcPr>
            <w:tcW w:w="948" w:type="dxa"/>
            <w:vAlign w:val="center"/>
          </w:tcPr>
          <w:p>
            <w:pPr>
              <w:jc w:val="center"/>
              <w:rPr>
                <w:rFonts w:hint="default" w:ascii="仿宋_GB2312" w:hAnsi="Times New Roman" w:eastAsia="仿宋_GB2312" w:cs="Times New Roman"/>
                <w:color w:val="auto"/>
                <w:szCs w:val="21"/>
                <w:lang w:val="en-US" w:eastAsia="zh-CN"/>
              </w:rPr>
            </w:pPr>
            <w:r>
              <w:rPr>
                <w:rFonts w:hint="eastAsia" w:ascii="仿宋_GB2312" w:hAnsi="Times New Roman" w:eastAsia="仿宋_GB2312" w:cs="Times New Roman"/>
                <w:color w:val="auto"/>
                <w:szCs w:val="21"/>
                <w:lang w:val="en-US" w:eastAsia="zh-CN"/>
              </w:rPr>
              <w:t>58412</w:t>
            </w:r>
          </w:p>
        </w:tc>
        <w:tc>
          <w:tcPr>
            <w:tcW w:w="720" w:type="dxa"/>
            <w:vAlign w:val="center"/>
          </w:tcPr>
          <w:p>
            <w:pPr>
              <w:jc w:val="center"/>
              <w:rPr>
                <w:rFonts w:hint="default" w:ascii="仿宋_GB2312" w:hAnsi="Times New Roman" w:eastAsia="仿宋_GB2312" w:cs="Times New Roman"/>
                <w:color w:val="auto"/>
                <w:szCs w:val="21"/>
                <w:lang w:val="en-US" w:eastAsia="zh-CN"/>
              </w:rPr>
            </w:pPr>
            <w:r>
              <w:rPr>
                <w:rFonts w:hint="eastAsia" w:ascii="仿宋_GB2312" w:hAnsi="Times New Roman" w:eastAsia="仿宋_GB2312" w:cs="Times New Roman"/>
                <w:color w:val="auto"/>
                <w:szCs w:val="21"/>
                <w:lang w:val="en-US" w:eastAsia="zh-CN"/>
              </w:rPr>
              <w:t>≥30</w:t>
            </w:r>
          </w:p>
        </w:tc>
        <w:tc>
          <w:tcPr>
            <w:tcW w:w="672" w:type="dxa"/>
            <w:vAlign w:val="center"/>
          </w:tcPr>
          <w:p>
            <w:pPr>
              <w:jc w:val="center"/>
              <w:rPr>
                <w:rFonts w:hint="eastAsia" w:ascii="仿宋_GB2312" w:hAnsi="Times New Roman" w:eastAsia="仿宋_GB2312" w:cs="Times New Roman"/>
                <w:color w:val="auto"/>
                <w:szCs w:val="21"/>
                <w:lang w:val="en-US" w:eastAsia="zh-CN"/>
              </w:rPr>
            </w:pPr>
            <w:r>
              <w:rPr>
                <w:rFonts w:hint="eastAsia" w:ascii="仿宋_GB2312" w:hAnsi="Times New Roman" w:eastAsia="仿宋_GB2312" w:cs="Times New Roman"/>
                <w:color w:val="auto"/>
                <w:szCs w:val="21"/>
                <w:lang w:val="en-US" w:eastAsia="zh-CN"/>
              </w:rPr>
              <w:t>1.6</w:t>
            </w:r>
            <w:r>
              <w:rPr>
                <w:rFonts w:hint="default" w:ascii="仿宋_GB2312" w:hAnsi="Times New Roman" w:eastAsia="仿宋_GB2312" w:cs="Times New Roman"/>
                <w:color w:val="auto"/>
                <w:szCs w:val="21"/>
                <w:lang w:val="en-US" w:eastAsia="zh-CN"/>
              </w:rPr>
              <w:t>-</w:t>
            </w:r>
            <w:r>
              <w:rPr>
                <w:rFonts w:hint="eastAsia" w:ascii="仿宋_GB2312" w:hAnsi="Times New Roman" w:eastAsia="仿宋_GB2312" w:cs="Times New Roman"/>
                <w:color w:val="auto"/>
                <w:szCs w:val="21"/>
                <w:lang w:val="en-US" w:eastAsia="zh-CN"/>
              </w:rPr>
              <w:t>2</w:t>
            </w:r>
            <w:r>
              <w:rPr>
                <w:rFonts w:hint="default" w:ascii="仿宋_GB2312" w:hAnsi="Times New Roman" w:eastAsia="仿宋_GB2312" w:cs="Times New Roman"/>
                <w:color w:val="auto"/>
                <w:szCs w:val="21"/>
                <w:lang w:val="en-US" w:eastAsia="zh-CN"/>
              </w:rPr>
              <w:t>.</w:t>
            </w:r>
            <w:r>
              <w:rPr>
                <w:rFonts w:hint="eastAsia" w:ascii="仿宋_GB2312" w:hAnsi="Times New Roman" w:eastAsia="仿宋_GB2312" w:cs="Times New Roman"/>
                <w:color w:val="auto"/>
                <w:szCs w:val="21"/>
                <w:lang w:val="en-US" w:eastAsia="zh-CN"/>
              </w:rPr>
              <w:t>5</w:t>
            </w:r>
          </w:p>
        </w:tc>
        <w:tc>
          <w:tcPr>
            <w:tcW w:w="1650" w:type="dxa"/>
            <w:vAlign w:val="center"/>
          </w:tcPr>
          <w:p>
            <w:pPr>
              <w:jc w:val="center"/>
              <w:rPr>
                <w:rFonts w:hint="default" w:ascii="仿宋_GB2312" w:hAnsi="Times New Roman" w:eastAsia="仿宋_GB2312" w:cs="Times New Roman"/>
                <w:color w:val="auto"/>
                <w:szCs w:val="21"/>
                <w:lang w:val="en-US" w:eastAsia="zh-CN"/>
              </w:rPr>
            </w:pPr>
            <w:r>
              <w:rPr>
                <w:rFonts w:hint="eastAsia" w:ascii="仿宋_GB2312" w:hAnsi="Times New Roman" w:eastAsia="仿宋_GB2312" w:cs="Times New Roman"/>
                <w:color w:val="auto"/>
                <w:szCs w:val="21"/>
                <w:lang w:val="en-US" w:eastAsia="zh-CN"/>
              </w:rPr>
              <w:t>93460-146030（其中配套设施建筑面积≥100）</w:t>
            </w:r>
          </w:p>
        </w:tc>
        <w:tc>
          <w:tcPr>
            <w:tcW w:w="1087" w:type="dxa"/>
            <w:vAlign w:val="center"/>
          </w:tcPr>
          <w:p>
            <w:pPr>
              <w:jc w:val="center"/>
              <w:rPr>
                <w:rFonts w:hint="default" w:ascii="仿宋_GB2312" w:hAnsi="Times New Roman" w:eastAsia="仿宋_GB2312" w:cs="Times New Roman"/>
                <w:color w:val="auto"/>
                <w:szCs w:val="21"/>
                <w:lang w:val="en-US" w:eastAsia="zh-CN"/>
              </w:rPr>
            </w:pPr>
            <w:r>
              <w:rPr>
                <w:rFonts w:hint="eastAsia" w:ascii="仿宋_GB2312" w:hAnsi="Times New Roman" w:eastAsia="仿宋_GB2312" w:cs="Times New Roman"/>
                <w:color w:val="auto"/>
                <w:szCs w:val="21"/>
                <w:lang w:val="en-US" w:eastAsia="zh-CN"/>
              </w:rPr>
              <w:t>行政办公及生活服务设施每100平方米计容积率建筑面积≥1个，厂房每100平方米计容积率建筑面积≥0.3个。停车场须按不低于总停车位的10%的比例配置充电设施。</w:t>
            </w:r>
          </w:p>
        </w:tc>
        <w:tc>
          <w:tcPr>
            <w:tcW w:w="900" w:type="dxa"/>
            <w:vAlign w:val="center"/>
          </w:tcPr>
          <w:p>
            <w:pPr>
              <w:jc w:val="center"/>
              <w:rPr>
                <w:rFonts w:hint="eastAsia" w:ascii="仿宋_GB2312" w:hAnsi="Times New Roman" w:eastAsia="仿宋_GB2312" w:cs="Times New Roman"/>
                <w:color w:val="auto"/>
                <w:szCs w:val="21"/>
                <w:lang w:val="en-US" w:eastAsia="zh-CN"/>
              </w:rPr>
            </w:pPr>
            <w:r>
              <w:rPr>
                <w:rFonts w:hint="eastAsia" w:ascii="仿宋_GB2312" w:hAnsi="Times New Roman" w:eastAsia="仿宋_GB2312" w:cs="Times New Roman"/>
                <w:color w:val="auto"/>
                <w:szCs w:val="21"/>
                <w:lang w:val="en-US" w:eastAsia="zh-CN"/>
              </w:rPr>
              <w:t>15-20</w:t>
            </w:r>
          </w:p>
        </w:tc>
        <w:tc>
          <w:tcPr>
            <w:tcW w:w="979" w:type="dxa"/>
            <w:vAlign w:val="center"/>
          </w:tcPr>
          <w:p>
            <w:pPr>
              <w:jc w:val="center"/>
              <w:rPr>
                <w:rFonts w:hint="eastAsia" w:ascii="仿宋_GB2312" w:hAnsi="Times New Roman" w:eastAsia="仿宋_GB2312" w:cs="Times New Roman"/>
                <w:color w:val="auto"/>
                <w:szCs w:val="21"/>
                <w:lang w:val="en-US" w:eastAsia="zh-CN"/>
              </w:rPr>
            </w:pPr>
            <w:r>
              <w:rPr>
                <w:rFonts w:hint="eastAsia" w:ascii="仿宋_GB2312" w:hAnsi="Times New Roman" w:eastAsia="仿宋_GB2312" w:cs="Times New Roman"/>
                <w:color w:val="auto"/>
                <w:szCs w:val="21"/>
                <w:lang w:val="en-US" w:eastAsia="zh-CN"/>
              </w:rPr>
              <w:t>生命健康、智能制造园区运营和科技服务用地</w:t>
            </w:r>
          </w:p>
        </w:tc>
        <w:tc>
          <w:tcPr>
            <w:tcW w:w="670" w:type="dxa"/>
            <w:vAlign w:val="center"/>
          </w:tcPr>
          <w:p>
            <w:pPr>
              <w:jc w:val="center"/>
              <w:rPr>
                <w:rFonts w:hint="eastAsia" w:ascii="仿宋_GB2312" w:hAnsi="Times New Roman" w:eastAsia="仿宋_GB2312" w:cs="Times New Roman"/>
                <w:color w:val="auto"/>
                <w:szCs w:val="21"/>
                <w:lang w:val="en-US" w:eastAsia="zh-CN"/>
              </w:rPr>
            </w:pPr>
            <w:r>
              <w:rPr>
                <w:rFonts w:hint="eastAsia" w:ascii="仿宋_GB2312" w:hAnsi="Times New Roman" w:eastAsia="仿宋_GB2312" w:cs="Times New Roman"/>
                <w:color w:val="auto"/>
                <w:szCs w:val="21"/>
                <w:lang w:val="en-US" w:eastAsia="zh-CN"/>
              </w:rPr>
              <w:t>50年</w:t>
            </w:r>
          </w:p>
          <w:p>
            <w:pPr>
              <w:jc w:val="center"/>
              <w:rPr>
                <w:rFonts w:hint="eastAsia" w:ascii="仿宋_GB2312" w:hAnsi="Times New Roman" w:eastAsia="仿宋_GB2312" w:cs="Times New Roman"/>
                <w:color w:val="auto"/>
                <w:szCs w:val="21"/>
                <w:lang w:val="en-US" w:eastAsia="zh-CN"/>
              </w:rPr>
            </w:pPr>
          </w:p>
        </w:tc>
      </w:tr>
    </w:tbl>
    <w:p>
      <w:pPr>
        <w:rPr>
          <w:rFonts w:hint="eastAsia" w:eastAsia="宋体"/>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separate"/>
    </w:r>
    <w:r>
      <w:rPr>
        <w:rStyle w:val="9"/>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separate"/>
    </w:r>
    <w:r>
      <w:rPr>
        <w:rStyle w:val="9"/>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C3FD8"/>
    <w:rsid w:val="07386886"/>
    <w:rsid w:val="082B1937"/>
    <w:rsid w:val="0D167AC3"/>
    <w:rsid w:val="0DF23899"/>
    <w:rsid w:val="0E7A65F6"/>
    <w:rsid w:val="0F3B3C66"/>
    <w:rsid w:val="101D3BC2"/>
    <w:rsid w:val="10305CB3"/>
    <w:rsid w:val="10BD4DFA"/>
    <w:rsid w:val="137618AF"/>
    <w:rsid w:val="13D50F1B"/>
    <w:rsid w:val="14895F86"/>
    <w:rsid w:val="167673A1"/>
    <w:rsid w:val="17AA0480"/>
    <w:rsid w:val="18707B5C"/>
    <w:rsid w:val="188D227F"/>
    <w:rsid w:val="1A0B2C56"/>
    <w:rsid w:val="1AA5305E"/>
    <w:rsid w:val="1ADB0E54"/>
    <w:rsid w:val="1C5904D7"/>
    <w:rsid w:val="1DE30B94"/>
    <w:rsid w:val="1E055685"/>
    <w:rsid w:val="1E862B6D"/>
    <w:rsid w:val="1F7C2358"/>
    <w:rsid w:val="20ED2229"/>
    <w:rsid w:val="22890C8D"/>
    <w:rsid w:val="23E67B24"/>
    <w:rsid w:val="28774868"/>
    <w:rsid w:val="2A6B42FA"/>
    <w:rsid w:val="2A870225"/>
    <w:rsid w:val="2B5D4967"/>
    <w:rsid w:val="304C7078"/>
    <w:rsid w:val="31CE6D72"/>
    <w:rsid w:val="35335FA2"/>
    <w:rsid w:val="35521EEE"/>
    <w:rsid w:val="35AA45D6"/>
    <w:rsid w:val="36061489"/>
    <w:rsid w:val="37607760"/>
    <w:rsid w:val="380440B7"/>
    <w:rsid w:val="381E07C6"/>
    <w:rsid w:val="38BD14D1"/>
    <w:rsid w:val="3B33742D"/>
    <w:rsid w:val="3C13026D"/>
    <w:rsid w:val="3DDC60B5"/>
    <w:rsid w:val="40231E47"/>
    <w:rsid w:val="40363F40"/>
    <w:rsid w:val="411B39E1"/>
    <w:rsid w:val="42CE6157"/>
    <w:rsid w:val="42E57851"/>
    <w:rsid w:val="43706132"/>
    <w:rsid w:val="45C047BF"/>
    <w:rsid w:val="46E36442"/>
    <w:rsid w:val="49921667"/>
    <w:rsid w:val="4A1228DB"/>
    <w:rsid w:val="4A1B1ECC"/>
    <w:rsid w:val="4AE74DD0"/>
    <w:rsid w:val="4C2E14D5"/>
    <w:rsid w:val="4D405AC3"/>
    <w:rsid w:val="4F861E18"/>
    <w:rsid w:val="538C505C"/>
    <w:rsid w:val="55E16575"/>
    <w:rsid w:val="565101CA"/>
    <w:rsid w:val="567F481B"/>
    <w:rsid w:val="57A3234F"/>
    <w:rsid w:val="57C844D5"/>
    <w:rsid w:val="596A13D8"/>
    <w:rsid w:val="5A893EB0"/>
    <w:rsid w:val="5AF873B7"/>
    <w:rsid w:val="5D241B5A"/>
    <w:rsid w:val="5E3B0440"/>
    <w:rsid w:val="606821F3"/>
    <w:rsid w:val="64D925C4"/>
    <w:rsid w:val="68527CA2"/>
    <w:rsid w:val="69173619"/>
    <w:rsid w:val="692A6240"/>
    <w:rsid w:val="6EB83079"/>
    <w:rsid w:val="6F4B3B48"/>
    <w:rsid w:val="70E328E1"/>
    <w:rsid w:val="738E783E"/>
    <w:rsid w:val="73BE7EBD"/>
    <w:rsid w:val="746E4E83"/>
    <w:rsid w:val="748840AA"/>
    <w:rsid w:val="761352C3"/>
    <w:rsid w:val="77DD303C"/>
    <w:rsid w:val="79E82C45"/>
    <w:rsid w:val="7B832F79"/>
    <w:rsid w:val="7D060077"/>
    <w:rsid w:val="7F252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9">
    <w:name w:val="page number"/>
    <w:qFormat/>
    <w:uiPriority w:val="0"/>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63</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白艳萍</cp:lastModifiedBy>
  <cp:lastPrinted>2022-03-08T07:11:00Z</cp:lastPrinted>
  <dcterms:modified xsi:type="dcterms:W3CDTF">2022-04-14T02:26:09Z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