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036</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highlight w:val="none"/>
          <w:lang w:val="en-US" w:eastAsia="zh-CN"/>
        </w:rPr>
        <w:t>惠州市人民政府</w:t>
      </w:r>
      <w:r>
        <w:rPr>
          <w:rFonts w:hint="eastAsia" w:ascii="仿宋_GB2312" w:hAnsi="仿宋_GB2312" w:eastAsia="仿宋_GB2312" w:cs="仿宋_GB2312"/>
          <w:sz w:val="32"/>
          <w:szCs w:val="32"/>
          <w:highlight w:val="none"/>
        </w:rPr>
        <w:t>批准，</w:t>
      </w:r>
      <w:r>
        <w:rPr>
          <w:rFonts w:hint="eastAsia" w:ascii="仿宋_GB2312" w:hAnsi="仿宋_GB2312" w:eastAsia="仿宋_GB2312" w:cs="仿宋_GB2312"/>
          <w:sz w:val="32"/>
          <w:szCs w:val="32"/>
          <w:highlight w:val="none"/>
          <w:lang w:val="en-US" w:eastAsia="zh-CN"/>
        </w:rPr>
        <w:t>惠州市自然资源局</w:t>
      </w:r>
      <w:r>
        <w:rPr>
          <w:rFonts w:hint="eastAsia" w:ascii="仿宋_GB2312" w:hAnsi="仿宋_GB2312" w:eastAsia="仿宋_GB2312" w:cs="仿宋_GB2312"/>
          <w:sz w:val="32"/>
          <w:szCs w:val="32"/>
          <w:highlight w:val="none"/>
        </w:rPr>
        <w:t>决定以网上挂牌方式出让</w:t>
      </w:r>
      <w:r>
        <w:rPr>
          <w:rFonts w:hint="eastAsia" w:ascii="仿宋_GB2312" w:hAnsi="仿宋_GB2312" w:eastAsia="仿宋_GB2312" w:cs="仿宋_GB2312"/>
          <w:sz w:val="32"/>
          <w:szCs w:val="32"/>
        </w:rPr>
        <w:t>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highlight w:val="none"/>
        </w:rPr>
        <w:t>网上挂牌竞买时间为</w:t>
      </w:r>
      <w:r>
        <w:rPr>
          <w:rFonts w:hint="eastAsia" w:ascii="仿宋_GB2312" w:hAnsi="仿宋_GB2312" w:eastAsia="仿宋_GB2312" w:cs="仿宋_GB2312"/>
          <w:sz w:val="32"/>
          <w:szCs w:val="32"/>
          <w:highlight w:val="none"/>
          <w:lang w:val="en-US" w:eastAsia="zh-CN"/>
        </w:rPr>
        <w:t>2021年11月1日9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2021年11月15日10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bookmarkStart w:id="0" w:name="_GoBack"/>
      <w:r>
        <w:rPr>
          <w:rFonts w:hint="eastAsia" w:ascii="仿宋_GB2312" w:hAnsi="仿宋_GB2312" w:eastAsia="仿宋_GB2312" w:cs="仿宋_GB2312"/>
          <w:color w:val="auto"/>
          <w:kern w:val="2"/>
          <w:sz w:val="32"/>
          <w:szCs w:val="32"/>
          <w:highlight w:val="none"/>
          <w:lang w:val="en-US" w:eastAsia="zh-CN"/>
        </w:rPr>
        <w:t>32290</w:t>
      </w:r>
      <w:bookmarkEnd w:id="0"/>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00</w:t>
      </w:r>
      <w:r>
        <w:rPr>
          <w:rFonts w:hint="eastAsia" w:ascii="仿宋_GB2312" w:hAnsi="仿宋_GB2312" w:eastAsia="仿宋_GB2312" w:cs="仿宋_GB2312"/>
          <w:sz w:val="32"/>
          <w:szCs w:val="32"/>
        </w:rPr>
        <w:t>万元的整数倍。</w:t>
      </w:r>
    </w:p>
    <w:p>
      <w:pPr>
        <w:spacing w:line="520" w:lineRule="exact"/>
        <w:ind w:firstLine="720" w:firstLineChars="22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kern w:val="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szCs w:val="32"/>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kern w:val="2"/>
          <w:sz w:val="32"/>
          <w:szCs w:val="32"/>
          <w:lang w:val="en-US" w:eastAsia="zh-CN" w:bidi="ar-SA"/>
        </w:rPr>
        <w:t>）</w:t>
      </w:r>
      <w:r>
        <w:rPr>
          <w:rFonts w:hint="default" w:ascii="Times New Roman" w:hAnsi="Times New Roman" w:eastAsia="仿宋_GB2312" w:cs="Times New Roman"/>
          <w:kern w:val="2"/>
          <w:sz w:val="32"/>
          <w:szCs w:val="32"/>
          <w:highlight w:val="none"/>
        </w:rPr>
        <w:t>竞买申请</w:t>
      </w:r>
      <w:r>
        <w:rPr>
          <w:rFonts w:hint="default" w:ascii="Times New Roman" w:hAnsi="Times New Roman" w:eastAsia="仿宋_GB2312" w:cs="Times New Roman"/>
          <w:kern w:val="2"/>
          <w:sz w:val="32"/>
          <w:szCs w:val="32"/>
          <w:highlight w:val="none"/>
          <w:lang w:val="en-US" w:eastAsia="zh-CN"/>
        </w:rPr>
        <w:t>人</w:t>
      </w:r>
      <w:r>
        <w:rPr>
          <w:rFonts w:hint="default" w:ascii="Times New Roman" w:hAnsi="Times New Roman" w:eastAsia="仿宋_GB2312" w:cs="Times New Roman"/>
          <w:kern w:val="2"/>
          <w:sz w:val="32"/>
          <w:szCs w:val="32"/>
          <w:highlight w:val="none"/>
        </w:rPr>
        <w:t>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w:t>
      </w:r>
      <w:r>
        <w:rPr>
          <w:rFonts w:hint="eastAsia" w:ascii="Times New Roman" w:hAnsi="Times New Roman" w:cs="Times New Roman"/>
          <w:kern w:val="2"/>
          <w:sz w:val="32"/>
          <w:szCs w:val="32"/>
          <w:highlight w:val="none"/>
          <w:lang w:eastAsia="zh-CN"/>
        </w:rPr>
        <w:t>，</w:t>
      </w:r>
      <w:r>
        <w:rPr>
          <w:rFonts w:hint="eastAsia" w:ascii="Times New Roman" w:hAnsi="Times New Roman" w:cs="Times New Roman"/>
          <w:kern w:val="2"/>
          <w:sz w:val="32"/>
          <w:szCs w:val="32"/>
          <w:highlight w:val="none"/>
          <w:lang w:val="en-US" w:eastAsia="zh-CN"/>
        </w:rPr>
        <w:t>网上挂牌交易成交后</w:t>
      </w:r>
      <w:r>
        <w:rPr>
          <w:rFonts w:hint="default" w:ascii="Times New Roman" w:hAnsi="Times New Roman" w:eastAsia="仿宋_GB2312" w:cs="Times New Roman"/>
          <w:kern w:val="2"/>
          <w:sz w:val="32"/>
          <w:szCs w:val="32"/>
          <w:highlight w:val="none"/>
        </w:rPr>
        <w:t>提</w:t>
      </w:r>
      <w:r>
        <w:rPr>
          <w:rFonts w:hint="eastAsia" w:ascii="Times New Roman" w:hAnsi="Times New Roman" w:cs="Times New Roman"/>
          <w:kern w:val="2"/>
          <w:sz w:val="32"/>
          <w:szCs w:val="32"/>
          <w:highlight w:val="none"/>
          <w:lang w:val="en-US" w:eastAsia="zh-CN"/>
        </w:rPr>
        <w:t>交</w:t>
      </w:r>
      <w:r>
        <w:rPr>
          <w:rFonts w:hint="default" w:ascii="Times New Roman" w:hAnsi="Times New Roman" w:eastAsia="仿宋_GB2312" w:cs="Times New Roman"/>
          <w:kern w:val="2"/>
          <w:sz w:val="32"/>
          <w:szCs w:val="32"/>
          <w:highlight w:val="none"/>
        </w:rPr>
        <w:t>相应证明并对上述要求作出承诺。</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rPr>
      </w:pPr>
      <w:r>
        <w:rPr>
          <w:rFonts w:hint="default" w:ascii="Times New Roman" w:hAnsi="Times New Roman" w:eastAsia="仿宋_GB2312" w:cs="Times New Roman"/>
          <w:kern w:val="2"/>
          <w:sz w:val="32"/>
          <w:szCs w:val="32"/>
          <w:highlight w:val="none"/>
        </w:rPr>
        <w:t>对于经审查资金来源不符合要求的，根据情况采取取消参与资格竞买、取消竞得资格、解除土地出让合同或收回已出让土地等措施，竞买保证金不予返还，一年内不得在惠州市参加土地竞买</w:t>
      </w:r>
      <w:r>
        <w:rPr>
          <w:rFonts w:hint="eastAsia" w:ascii="仿宋_GB2312" w:hAnsi="仿宋_GB2312" w:eastAsia="仿宋_GB2312" w:cs="仿宋_GB2312"/>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五</w:t>
      </w:r>
      <w:r>
        <w:rPr>
          <w:rFonts w:hint="eastAsia" w:ascii="仿宋_GB2312" w:hAnsi="仿宋_GB2312" w:eastAsia="仿宋_GB2312" w:cs="仿宋_GB2312"/>
          <w:szCs w:val="32"/>
        </w:rPr>
        <w:t>、该宗地竞买保证金可用人民币及外币（暂限于美元、港币）支付</w:t>
      </w:r>
      <w:r>
        <w:rPr>
          <w:rFonts w:hint="eastAsia" w:ascii="仿宋_GB2312" w:hAnsi="仿宋_GB2312" w:eastAsia="仿宋_GB2312" w:cs="仿宋_GB2312"/>
          <w:szCs w:val="32"/>
          <w:lang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六</w:t>
      </w:r>
      <w:r>
        <w:rPr>
          <w:rFonts w:hint="eastAsia" w:ascii="仿宋_GB2312" w:hAnsi="仿宋_GB2312" w:eastAsia="仿宋_GB2312" w:cs="仿宋_GB2312"/>
          <w:szCs w:val="32"/>
        </w:rPr>
        <w:t>、申请人应具备的其他条件：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一）</w:t>
      </w:r>
      <w:r>
        <w:rPr>
          <w:rFonts w:hint="eastAsia" w:ascii="仿宋_GB2312" w:hAnsi="仿宋_GB2312" w:eastAsia="仿宋_GB2312" w:cs="仿宋_GB2312"/>
          <w:szCs w:val="32"/>
        </w:rPr>
        <w:t>缴交竞买保证金</w:t>
      </w:r>
      <w:r>
        <w:rPr>
          <w:rFonts w:hint="eastAsia" w:ascii="仿宋_GB2312" w:hAnsi="仿宋_GB2312" w:eastAsia="仿宋_GB2312" w:cs="仿宋_GB2312"/>
          <w:color w:val="auto"/>
          <w:kern w:val="2"/>
          <w:sz w:val="32"/>
          <w:szCs w:val="32"/>
          <w:highlight w:val="none"/>
          <w:lang w:val="en-US" w:eastAsia="zh-CN"/>
        </w:rPr>
        <w:t>9687</w:t>
      </w:r>
      <w:r>
        <w:rPr>
          <w:rFonts w:hint="eastAsia" w:ascii="仿宋_GB2312" w:hAnsi="仿宋_GB2312" w:eastAsia="仿宋_GB2312" w:cs="仿宋_GB2312"/>
          <w:szCs w:val="32"/>
        </w:rPr>
        <w:t>万元人民币，如以外币缴交竞买保证金的，须缴交</w:t>
      </w:r>
      <w:r>
        <w:rPr>
          <w:rFonts w:hint="eastAsia" w:ascii="仿宋_GB2312" w:hAnsi="仿宋_GB2312" w:eastAsia="仿宋_GB2312" w:cs="仿宋_GB2312"/>
          <w:kern w:val="2"/>
          <w:sz w:val="32"/>
          <w:szCs w:val="32"/>
        </w:rPr>
        <w:t>美元</w:t>
      </w:r>
      <w:r>
        <w:rPr>
          <w:rFonts w:hint="eastAsia" w:ascii="仿宋_GB2312" w:hAnsi="仿宋_GB2312" w:eastAsia="仿宋_GB2312" w:cs="仿宋_GB2312"/>
          <w:color w:val="auto"/>
          <w:kern w:val="2"/>
          <w:sz w:val="32"/>
          <w:szCs w:val="32"/>
          <w:highlight w:val="none"/>
          <w:lang w:val="en-US" w:eastAsia="zh-CN"/>
        </w:rPr>
        <w:t>1498</w:t>
      </w:r>
      <w:r>
        <w:rPr>
          <w:rFonts w:hint="eastAsia" w:ascii="仿宋_GB2312" w:hAnsi="仿宋_GB2312" w:eastAsia="仿宋_GB2312" w:cs="仿宋_GB2312"/>
          <w:kern w:val="2"/>
          <w:sz w:val="32"/>
          <w:szCs w:val="32"/>
        </w:rPr>
        <w:t>万元、港币</w:t>
      </w:r>
      <w:r>
        <w:rPr>
          <w:rFonts w:hint="eastAsia" w:ascii="仿宋_GB2312" w:hAnsi="仿宋_GB2312" w:eastAsia="仿宋_GB2312" w:cs="仿宋_GB2312"/>
          <w:color w:val="auto"/>
          <w:kern w:val="2"/>
          <w:sz w:val="32"/>
          <w:szCs w:val="32"/>
          <w:highlight w:val="none"/>
          <w:lang w:val="en-US" w:eastAsia="zh-CN"/>
        </w:rPr>
        <w:t>11648</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szCs w:val="32"/>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（二）存在下列违法违规违约行为之一的企业及其控股股东，不得参与竞买上述地块：</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1、存在伪造公文骗取用地和非法倒卖土地等犯罪行为的；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2、存在非法转让土地使用权等违法行为的；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3、因企业原因造成土地闲置一年以上且至报名日止未处罚完结的；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4、开发建设企业有违背出让合同约定条件开发利用土地情形且至报名日止未处罚完结的；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5、至报名日止仍拖欠政府地价款的;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、本次国有建设用地使用权网上挂牌</w:t>
      </w:r>
      <w:r>
        <w:rPr>
          <w:rFonts w:hint="eastAsia" w:ascii="仿宋_GB2312" w:hAnsi="仿宋_GB2312" w:eastAsia="仿宋_GB2312" w:cs="仿宋_GB2312"/>
          <w:color w:val="auto"/>
          <w:sz w:val="32"/>
          <w:szCs w:val="32"/>
          <w:highlight w:val="none"/>
        </w:rPr>
        <w:t>竞价达到</w:t>
      </w:r>
      <w:r>
        <w:rPr>
          <w:rFonts w:hint="eastAsia" w:ascii="仿宋_GB2312" w:hAnsi="仿宋_GB2312" w:eastAsia="仿宋_GB2312" w:cs="仿宋_GB2312"/>
          <w:color w:val="auto"/>
          <w:sz w:val="32"/>
          <w:szCs w:val="32"/>
          <w:highlight w:val="none"/>
          <w:lang w:val="en-US" w:eastAsia="zh-CN"/>
        </w:rPr>
        <w:t>37130</w:t>
      </w:r>
      <w:r>
        <w:rPr>
          <w:rFonts w:hint="eastAsia" w:ascii="仿宋_GB2312" w:hAnsi="仿宋_GB2312" w:eastAsia="仿宋_GB2312" w:cs="仿宋_GB2312"/>
          <w:color w:val="auto"/>
          <w:sz w:val="32"/>
          <w:szCs w:val="32"/>
          <w:highlight w:val="none"/>
        </w:rPr>
        <w:t>万元时，</w:t>
      </w:r>
      <w:r>
        <w:rPr>
          <w:rFonts w:hint="eastAsia" w:ascii="仿宋_GB2312" w:hAnsi="仿宋_GB2312" w:eastAsia="仿宋_GB2312" w:cs="仿宋_GB2312"/>
          <w:color w:val="auto"/>
          <w:sz w:val="32"/>
          <w:szCs w:val="32"/>
          <w:highlight w:val="none"/>
          <w:lang w:val="en-US" w:eastAsia="zh-CN"/>
        </w:rPr>
        <w:t>转为采取</w:t>
      </w:r>
      <w:r>
        <w:rPr>
          <w:rFonts w:hint="eastAsia" w:ascii="仿宋_GB2312" w:hAnsi="仿宋_GB2312" w:eastAsia="仿宋_GB2312" w:cs="仿宋_GB2312"/>
          <w:color w:val="auto"/>
          <w:sz w:val="32"/>
          <w:szCs w:val="32"/>
          <w:highlight w:val="none"/>
        </w:rPr>
        <w:t>摇号方式确定竞得人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、申请人应当在网上挂牌出让结束前</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2021年11月15日上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w:t>
      </w:r>
      <w:r>
        <w:rPr>
          <w:rFonts w:hint="eastAsia" w:ascii="仿宋_GB2312" w:hAns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highlight w:val="none"/>
          <w:lang w:val="en-US" w:eastAsia="zh-CN"/>
        </w:rPr>
        <w:t>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w:t>
      </w:r>
      <w:r>
        <w:rPr>
          <w:rFonts w:hint="eastAsia" w:ascii="仿宋_GB2312" w:hAnsi="仿宋_GB2312" w:eastAsia="仿宋_GB2312" w:cs="仿宋_GB2312"/>
          <w:sz w:val="32"/>
          <w:szCs w:val="32"/>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、其它需要公告的事项</w:t>
      </w:r>
    </w:p>
    <w:p>
      <w:pPr>
        <w:keepNext w:val="0"/>
        <w:keepLines w:val="0"/>
        <w:pageBreakBefore w:val="0"/>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（一）该地块所建单套毛坯</w:t>
      </w:r>
      <w:r>
        <w:rPr>
          <w:rFonts w:hint="eastAsia" w:ascii="仿宋_GB2312" w:hAnsi="仿宋_GB2312" w:eastAsia="仿宋_GB2312" w:cs="仿宋_GB2312"/>
          <w:color w:val="auto"/>
          <w:sz w:val="32"/>
          <w:szCs w:val="32"/>
          <w:highlight w:val="none"/>
          <w:lang w:val="en-US" w:eastAsia="zh-CN"/>
        </w:rPr>
        <w:t>商品住宅</w:t>
      </w:r>
      <w:r>
        <w:rPr>
          <w:rFonts w:hint="eastAsia" w:ascii="仿宋_GB2312" w:hAnsi="仿宋_GB2312" w:eastAsia="仿宋_GB2312" w:cs="仿宋_GB2312"/>
          <w:color w:val="auto"/>
          <w:sz w:val="32"/>
          <w:szCs w:val="32"/>
          <w:highlight w:val="none"/>
        </w:rPr>
        <w:t>销售单价</w:t>
      </w:r>
      <w:r>
        <w:rPr>
          <w:rFonts w:hint="eastAsia" w:ascii="仿宋_GB2312" w:hAnsi="仿宋_GB2312" w:eastAsia="仿宋_GB2312" w:cs="仿宋_GB2312"/>
          <w:color w:val="auto"/>
          <w:sz w:val="32"/>
          <w:szCs w:val="32"/>
          <w:highlight w:val="none"/>
          <w:lang w:val="en-US" w:eastAsia="zh-CN"/>
        </w:rPr>
        <w:t>不高于19008</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开发投资总额不少于</w:t>
      </w:r>
      <w:r>
        <w:rPr>
          <w:rFonts w:hint="eastAsia" w:ascii="仿宋_GB2312" w:hAnsi="仿宋_GB2312" w:eastAsia="仿宋_GB2312" w:cs="仿宋_GB2312"/>
          <w:color w:val="auto"/>
          <w:kern w:val="2"/>
          <w:sz w:val="32"/>
          <w:szCs w:val="32"/>
          <w:highlight w:val="none"/>
          <w:lang w:val="en-US" w:eastAsia="zh-CN"/>
        </w:rPr>
        <w:t>48050</w:t>
      </w:r>
      <w:r>
        <w:rPr>
          <w:rFonts w:hint="eastAsia" w:ascii="仿宋_GB2312" w:hAnsi="仿宋_GB2312" w:eastAsia="仿宋_GB2312" w:cs="仿宋_GB2312"/>
          <w:sz w:val="32"/>
          <w:szCs w:val="32"/>
        </w:rPr>
        <w:t>万元（含地价,不含地价溢价部分）。</w:t>
      </w:r>
    </w:p>
    <w:p>
      <w:pPr>
        <w:keepNext w:val="0"/>
        <w:keepLines w:val="0"/>
        <w:pageBreakBefore w:val="0"/>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）土地成交价款须以人民币支付,竞得人在签订《出让合同》之日起30日内付清全部成交价款。</w:t>
      </w:r>
    </w:p>
    <w:p>
      <w:pPr>
        <w:pStyle w:val="3"/>
        <w:keepNext w:val="0"/>
        <w:keepLines w:val="0"/>
        <w:pageBreakBefore w:val="0"/>
        <w:kinsoku/>
        <w:wordWrap/>
        <w:overflowPunct/>
        <w:topLinePunct w:val="0"/>
        <w:autoSpaceDE/>
        <w:autoSpaceDN/>
        <w:bidi w:val="0"/>
        <w:spacing w:line="640" w:lineRule="atLeas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2"/>
          <w:sz w:val="32"/>
          <w:szCs w:val="32"/>
          <w:lang w:val="en-US" w:eastAsia="zh-CN" w:bidi="ar-SA"/>
        </w:rPr>
        <w:t xml:space="preserve"> （四）竞得人在用</w:t>
      </w:r>
      <w:r>
        <w:rPr>
          <w:rFonts w:hint="eastAsia" w:ascii="仿宋_GB2312" w:hAnsi="仿宋_GB2312" w:eastAsia="仿宋_GB2312" w:cs="仿宋_GB2312"/>
          <w:kern w:val="2"/>
          <w:sz w:val="32"/>
          <w:szCs w:val="32"/>
        </w:rPr>
        <w:t>地红线内开发建设必须符合城市规划要求，必须按《</w:t>
      </w:r>
      <w:r>
        <w:rPr>
          <w:rFonts w:hint="eastAsia" w:ascii="仿宋_GB2312" w:hAnsi="仿宋_GB2312" w:eastAsia="仿宋_GB2312" w:cs="仿宋_GB2312"/>
          <w:kern w:val="2"/>
          <w:sz w:val="32"/>
          <w:szCs w:val="32"/>
          <w:lang w:val="en-US" w:eastAsia="zh-CN"/>
        </w:rPr>
        <w:t>规划设计条件</w:t>
      </w:r>
      <w:r>
        <w:rPr>
          <w:rFonts w:hint="eastAsia" w:ascii="仿宋_GB2312" w:hAnsi="仿宋_GB2312" w:eastAsia="仿宋_GB2312" w:cs="仿宋_GB2312"/>
          <w:kern w:val="2"/>
          <w:sz w:val="32"/>
          <w:szCs w:val="32"/>
        </w:rPr>
        <w:t>告知书》（案卷编号：</w:t>
      </w:r>
      <w:r>
        <w:rPr>
          <w:rFonts w:hint="eastAsia" w:ascii="仿宋_GB2312" w:hAnsi="仿宋_GB2312" w:eastAsia="仿宋_GB2312" w:cs="仿宋_GB2312"/>
          <w:kern w:val="2"/>
          <w:sz w:val="32"/>
          <w:szCs w:val="32"/>
          <w:lang w:eastAsia="zh-CN"/>
        </w:rPr>
        <w:t>PB20210060</w:t>
      </w:r>
      <w:r>
        <w:rPr>
          <w:rFonts w:hint="eastAsia" w:ascii="仿宋_GB2312" w:hAnsi="仿宋_GB2312" w:eastAsia="仿宋_GB2312" w:cs="仿宋_GB2312"/>
          <w:kern w:val="2"/>
          <w:sz w:val="32"/>
          <w:szCs w:val="32"/>
        </w:rPr>
        <w:t>）规划控制指标要求及有关规定进行规划设计</w:t>
      </w:r>
      <w:r>
        <w:rPr>
          <w:rFonts w:hint="eastAsia" w:ascii="仿宋_GB2312" w:hAnsi="仿宋_GB2312" w:eastAsia="仿宋_GB2312"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atLeast"/>
        <w:ind w:firstLine="627" w:firstLineChars="196"/>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该地属政府储备地，没有法律经济纠纷，具备动工开发所必须的基本条件</w:t>
      </w:r>
      <w:r>
        <w:rPr>
          <w:rFonts w:hint="eastAsia" w:ascii="仿宋_GB2312" w:hAnsi="仿宋_GB2312" w:eastAsia="仿宋_GB2312" w:cs="仿宋_GB2312"/>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）竞得人须按《</w:t>
      </w:r>
      <w:r>
        <w:rPr>
          <w:rFonts w:hint="eastAsia" w:ascii="仿宋_GB2312" w:hAnsi="仿宋_GB2312" w:eastAsia="仿宋_GB2312" w:cs="仿宋_GB2312"/>
          <w:kern w:val="2"/>
          <w:sz w:val="32"/>
          <w:szCs w:val="32"/>
          <w:lang w:val="en-US" w:eastAsia="zh-CN"/>
        </w:rPr>
        <w:t>规划设计条件</w:t>
      </w:r>
      <w:r>
        <w:rPr>
          <w:rFonts w:hint="eastAsia" w:ascii="仿宋_GB2312" w:hAnsi="仿宋_GB2312" w:eastAsia="仿宋_GB2312" w:cs="仿宋_GB2312"/>
          <w:kern w:val="2"/>
          <w:sz w:val="32"/>
          <w:szCs w:val="32"/>
        </w:rPr>
        <w:t>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PB20210060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要求配建相关配套设施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kern w:val="2"/>
          <w:sz w:val="32"/>
          <w:szCs w:val="32"/>
          <w:lang w:val="en-US" w:eastAsia="zh-CN"/>
        </w:rPr>
        <w:t>（七）</w:t>
      </w:r>
      <w:r>
        <w:rPr>
          <w:rFonts w:hint="default" w:ascii="Times New Roman" w:hAnsi="Times New Roman" w:eastAsia="仿宋_GB2312" w:cs="Times New Roman"/>
          <w:color w:val="auto"/>
          <w:kern w:val="2"/>
          <w:sz w:val="32"/>
          <w:szCs w:val="32"/>
          <w:highlight w:val="none"/>
        </w:rPr>
        <w:t>竞得人须配建总建筑面积不低于5000㎡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r>
        <w:rPr>
          <w:rFonts w:hint="eastAsia" w:ascii="仿宋_GB2312" w:hAnsi="仿宋_GB2312" w:eastAsia="仿宋_GB2312" w:cs="仿宋_GB2312"/>
          <w:color w:val="auto"/>
          <w:kern w:val="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sz w:val="32"/>
          <w:szCs w:val="32"/>
        </w:rPr>
        <w:t>惠州市江北三新南路7号</w:t>
      </w:r>
    </w:p>
    <w:p>
      <w:pPr>
        <w:spacing w:line="520" w:lineRule="exact"/>
        <w:ind w:right="640"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lang w:val="en-US" w:eastAsia="zh-CN"/>
        </w:rPr>
        <w:t>黄工</w:t>
      </w:r>
    </w:p>
    <w:p>
      <w:pPr>
        <w:spacing w:line="520" w:lineRule="exact"/>
        <w:ind w:right="64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color w:val="auto"/>
          <w:kern w:val="2"/>
          <w:sz w:val="32"/>
          <w:szCs w:val="32"/>
          <w:highlight w:val="none"/>
          <w:lang w:val="en-US" w:eastAsia="zh-CN" w:bidi="ar-SA"/>
        </w:rPr>
        <w:t>（0752）2896313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hint="eastAsia" w:ascii="仿宋_GB2312" w:hAnsi="仿宋_GB2312" w:eastAsia="仿宋_GB2312" w:cs="仿宋_GB2312"/>
          <w:color w:val="696969"/>
          <w:sz w:val="32"/>
          <w:szCs w:val="32"/>
        </w:rPr>
      </w:pPr>
      <w:r>
        <w:rPr>
          <w:rFonts w:hint="eastAsia" w:ascii="仿宋_GB2312" w:hAnsi="仿宋_GB2312" w:eastAsia="仿宋_GB2312" w:cs="仿宋_GB2312"/>
          <w:sz w:val="32"/>
          <w:szCs w:val="32"/>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rPr>
        <w:t>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2021年10月9日</w:t>
      </w:r>
    </w:p>
    <w:p>
      <w:pPr>
        <w:spacing w:line="360" w:lineRule="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9"/>
        <w:tblpPr w:leftFromText="180" w:rightFromText="180" w:vertAnchor="text" w:tblpXSpec="center" w:tblpY="1"/>
        <w:tblOverlap w:val="never"/>
        <w:tblW w:w="10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1005"/>
        <w:gridCol w:w="772"/>
        <w:gridCol w:w="645"/>
        <w:gridCol w:w="1088"/>
        <w:gridCol w:w="945"/>
        <w:gridCol w:w="986"/>
        <w:gridCol w:w="741"/>
        <w:gridCol w:w="677"/>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60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668"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lang w:val="en-US" w:eastAsia="zh-CN"/>
              </w:rPr>
              <w:t>用地</w:t>
            </w:r>
            <w:r>
              <w:rPr>
                <w:rFonts w:hint="default" w:ascii="Times New Roman" w:hAnsi="Times New Roman" w:eastAsia="仿宋_GB2312" w:cs="Times New Roman"/>
                <w:b/>
                <w:bCs/>
                <w:szCs w:val="21"/>
              </w:rPr>
              <w:t>编号</w:t>
            </w:r>
          </w:p>
        </w:tc>
        <w:tc>
          <w:tcPr>
            <w:tcW w:w="47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7186" w:type="dxa"/>
            <w:gridSpan w:val="8"/>
            <w:vAlign w:val="center"/>
          </w:tcPr>
          <w:p>
            <w:pPr>
              <w:adjustRightInd w:val="0"/>
              <w:snapToGrid w:val="0"/>
              <w:spacing w:line="320" w:lineRule="exact"/>
              <w:ind w:left="1" w:leftChars="-89" w:hanging="188" w:hangingChars="89"/>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c>
          <w:tcPr>
            <w:tcW w:w="677"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0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66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473"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1004"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计算指标用地面积</w:t>
            </w:r>
          </w:p>
        </w:tc>
        <w:tc>
          <w:tcPr>
            <w:tcW w:w="1005" w:type="dxa"/>
            <w:vAlign w:val="center"/>
          </w:tcPr>
          <w:p>
            <w:pPr>
              <w:autoSpaceDE w:val="0"/>
              <w:autoSpaceDN w:val="0"/>
              <w:adjustRightInd w:val="0"/>
              <w:spacing w:line="240" w:lineRule="exact"/>
              <w:jc w:val="center"/>
              <w:rPr>
                <w:rFonts w:hint="default" w:ascii="Times New Roman" w:hAnsi="Times New Roman" w:cs="Times New Roman"/>
                <w:b/>
                <w:bCs/>
                <w:szCs w:val="21"/>
              </w:rPr>
            </w:pPr>
            <w:r>
              <w:rPr>
                <w:rFonts w:hint="default" w:ascii="Times New Roman" w:hAnsi="Times New Roman" w:eastAsia="仿宋_GB2312" w:cs="Times New Roman"/>
                <w:b/>
                <w:bCs/>
                <w:szCs w:val="21"/>
              </w:rPr>
              <w:t>宗地使用权面积</w:t>
            </w:r>
          </w:p>
        </w:tc>
        <w:tc>
          <w:tcPr>
            <w:tcW w:w="772"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建筑密度</w:t>
            </w:r>
          </w:p>
        </w:tc>
        <w:tc>
          <w:tcPr>
            <w:tcW w:w="645" w:type="dxa"/>
            <w:vAlign w:val="center"/>
          </w:tcPr>
          <w:p>
            <w:pPr>
              <w:autoSpaceDE w:val="0"/>
              <w:autoSpaceDN w:val="0"/>
              <w:adjustRightInd w:val="0"/>
              <w:spacing w:line="240" w:lineRule="exact"/>
              <w:jc w:val="center"/>
              <w:rPr>
                <w:rFonts w:hint="default" w:ascii="Times New Roman" w:hAnsi="Times New Roman" w:eastAsia="仿宋_GB2312" w:cs="Times New Roman"/>
                <w:b/>
                <w:bCs/>
                <w:szCs w:val="21"/>
                <w:lang w:val="en-US" w:eastAsia="zh-CN"/>
              </w:rPr>
            </w:pPr>
            <w:r>
              <w:rPr>
                <w:rFonts w:hint="default" w:ascii="Times New Roman" w:hAnsi="Times New Roman" w:eastAsia="仿宋_GB2312" w:cs="Times New Roman"/>
                <w:b/>
                <w:bCs/>
                <w:szCs w:val="21"/>
                <w:lang w:val="en-US" w:eastAsia="zh-CN"/>
              </w:rPr>
              <w:t>容积率</w:t>
            </w:r>
          </w:p>
        </w:tc>
        <w:tc>
          <w:tcPr>
            <w:tcW w:w="1088"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p>
        </w:tc>
        <w:tc>
          <w:tcPr>
            <w:tcW w:w="945" w:type="dxa"/>
            <w:vAlign w:val="center"/>
          </w:tcPr>
          <w:p>
            <w:pPr>
              <w:autoSpaceDE w:val="0"/>
              <w:autoSpaceDN w:val="0"/>
              <w:adjustRightInd w:val="0"/>
              <w:spacing w:line="240" w:lineRule="exact"/>
              <w:jc w:val="center"/>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绿地率</w:t>
            </w:r>
          </w:p>
        </w:tc>
        <w:tc>
          <w:tcPr>
            <w:tcW w:w="986" w:type="dxa"/>
            <w:vAlign w:val="center"/>
          </w:tcPr>
          <w:p>
            <w:pPr>
              <w:autoSpaceDE w:val="0"/>
              <w:autoSpaceDN w:val="0"/>
              <w:adjustRightInd w:val="0"/>
              <w:spacing w:line="240" w:lineRule="exact"/>
              <w:jc w:val="center"/>
              <w:rPr>
                <w:rFonts w:hint="default" w:ascii="Times New Roman" w:hAnsi="Times New Roman" w:eastAsia="宋体" w:cs="Times New Roman"/>
                <w:b/>
                <w:bCs/>
                <w:szCs w:val="21"/>
                <w:lang w:eastAsia="zh-CN"/>
              </w:rPr>
            </w:pPr>
            <w:r>
              <w:rPr>
                <w:rFonts w:hint="default" w:ascii="Times New Roman" w:hAnsi="Times New Roman"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适建性</w:t>
            </w:r>
          </w:p>
        </w:tc>
        <w:tc>
          <w:tcPr>
            <w:tcW w:w="677" w:type="dxa"/>
            <w:vAlign w:val="center"/>
          </w:tcPr>
          <w:p>
            <w:pPr>
              <w:autoSpaceDE w:val="0"/>
              <w:autoSpaceDN w:val="0"/>
              <w:adjustRightInd w:val="0"/>
              <w:spacing w:line="240" w:lineRule="exact"/>
              <w:jc w:val="center"/>
              <w:rPr>
                <w:rFonts w:hint="eastAsia" w:ascii="Times New Roman" w:hAnsi="Times New Roman" w:eastAsia="仿宋_GB2312" w:cs="Times New Roman"/>
                <w:b/>
                <w:bCs/>
                <w:lang w:eastAsia="zh-CN"/>
              </w:rPr>
            </w:pPr>
            <w:r>
              <w:rPr>
                <w:rFonts w:hint="eastAsia" w:ascii="Times New Roman" w:hAnsi="Times New Roman" w:eastAsia="仿宋_GB2312" w:cs="Times New Roman"/>
                <w:b/>
                <w:bCs/>
                <w:lang w:eastAsia="zh-CN"/>
              </w:rPr>
              <w:t>建筑控制高度</w:t>
            </w:r>
          </w:p>
        </w:tc>
        <w:tc>
          <w:tcPr>
            <w:tcW w:w="677" w:type="dxa"/>
            <w:vAlign w:val="center"/>
          </w:tcPr>
          <w:p>
            <w:pPr>
              <w:autoSpaceDE w:val="0"/>
              <w:autoSpaceDN w:val="0"/>
              <w:adjustRightInd w:val="0"/>
              <w:spacing w:line="240" w:lineRule="exact"/>
              <w:jc w:val="center"/>
              <w:rPr>
                <w:rFonts w:hint="eastAsia" w:ascii="Times New Roman" w:hAnsi="Times New Roman" w:eastAsia="仿宋_GB2312" w:cs="Times New Roman"/>
                <w:b/>
                <w:bCs/>
                <w:kern w:val="2"/>
                <w:sz w:val="21"/>
                <w:szCs w:val="22"/>
                <w:lang w:val="en-US" w:eastAsia="zh-CN" w:bidi="ar-SA"/>
              </w:rPr>
            </w:pPr>
            <w:r>
              <w:rPr>
                <w:rFonts w:hint="default" w:ascii="Times New Roman" w:hAnsi="Times New Roman" w:eastAsia="仿宋_GB2312" w:cs="Times New Roman"/>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GP2021</w:t>
            </w:r>
          </w:p>
          <w:p>
            <w:pPr>
              <w:spacing w:line="30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szCs w:val="21"/>
                <w:lang w:val="en-US" w:eastAsia="zh-CN"/>
              </w:rPr>
              <w:t>-36</w:t>
            </w:r>
          </w:p>
        </w:tc>
        <w:tc>
          <w:tcPr>
            <w:tcW w:w="608"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惠州市惠城区金龙大道东南片区JBD57-07地块</w:t>
            </w:r>
          </w:p>
        </w:tc>
        <w:tc>
          <w:tcPr>
            <w:tcW w:w="668"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JBD57-07</w:t>
            </w:r>
          </w:p>
        </w:tc>
        <w:tc>
          <w:tcPr>
            <w:tcW w:w="473" w:type="dxa"/>
            <w:tcMar>
              <w:left w:w="0" w:type="dxa"/>
              <w:right w:w="0" w:type="dxa"/>
            </w:tcMar>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城镇住宅及商服用地</w:t>
            </w:r>
          </w:p>
        </w:tc>
        <w:tc>
          <w:tcPr>
            <w:tcW w:w="1004"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16929.7㎡</w:t>
            </w:r>
          </w:p>
        </w:tc>
        <w:tc>
          <w:tcPr>
            <w:tcW w:w="1005"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12514.59㎡</w:t>
            </w:r>
          </w:p>
        </w:tc>
        <w:tc>
          <w:tcPr>
            <w:tcW w:w="772"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color w:val="000000"/>
                <w:szCs w:val="21"/>
                <w:lang w:val="en-US" w:eastAsia="zh-CN"/>
              </w:rPr>
              <w:t>≤30%（其中住宅建筑净密度≤22%）</w:t>
            </w:r>
          </w:p>
        </w:tc>
        <w:tc>
          <w:tcPr>
            <w:tcW w:w="645"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w:t>
            </w:r>
            <w:r>
              <w:rPr>
                <w:rFonts w:hint="eastAsia" w:ascii="Times New Roman" w:hAnsi="Times New Roman" w:eastAsia="仿宋_GB2312" w:cs="Times New Roman"/>
                <w:color w:val="000000"/>
                <w:szCs w:val="21"/>
                <w:lang w:val="en-US" w:eastAsia="zh-CN"/>
              </w:rPr>
              <w:t>3.1</w:t>
            </w:r>
          </w:p>
        </w:tc>
        <w:tc>
          <w:tcPr>
            <w:tcW w:w="1088"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52483</w:t>
            </w:r>
            <w:r>
              <w:rPr>
                <w:rFonts w:hint="eastAsia" w:ascii="仿宋_GB2312" w:hAnsi="仿宋_GB2312" w:eastAsia="仿宋_GB2312" w:cs="仿宋_GB2312"/>
                <w:color w:val="000000"/>
                <w:szCs w:val="21"/>
                <w:lang w:eastAsia="zh-CN"/>
              </w:rPr>
              <w:t>㎡（其中商业、商务金融建筑面积的比例</w:t>
            </w:r>
            <w:r>
              <w:rPr>
                <w:rFonts w:hint="eastAsia" w:ascii="仿宋_GB2312" w:hAnsi="仿宋_GB2312" w:eastAsia="仿宋_GB2312" w:cs="仿宋_GB2312"/>
                <w:color w:val="000000"/>
                <w:szCs w:val="21"/>
                <w:lang w:val="en-US" w:eastAsia="zh-CN"/>
              </w:rPr>
              <w:t>6-10%，配套</w:t>
            </w:r>
            <w:r>
              <w:rPr>
                <w:rFonts w:hint="eastAsia" w:ascii="仿宋_GB2312" w:hAnsi="仿宋_GB2312" w:eastAsia="仿宋_GB2312" w:cs="仿宋_GB2312"/>
                <w:color w:val="000000"/>
                <w:szCs w:val="21"/>
                <w:lang w:eastAsia="zh-CN"/>
              </w:rPr>
              <w:t>设施建筑面积</w:t>
            </w:r>
            <w:r>
              <w:rPr>
                <w:rFonts w:hint="eastAsia" w:ascii="仿宋_GB2312" w:hAnsi="仿宋_GB2312" w:eastAsia="仿宋_GB2312" w:cs="仿宋_GB2312"/>
                <w:color w:val="000000"/>
                <w:szCs w:val="21"/>
                <w:lang w:val="en-US" w:eastAsia="zh-CN"/>
              </w:rPr>
              <w:t>＞195㎡</w:t>
            </w:r>
            <w:r>
              <w:rPr>
                <w:rFonts w:hint="eastAsia" w:ascii="仿宋_GB2312" w:hAnsi="仿宋_GB2312" w:eastAsia="仿宋_GB2312" w:cs="仿宋_GB2312"/>
                <w:color w:val="000000"/>
                <w:szCs w:val="21"/>
                <w:lang w:eastAsia="zh-CN"/>
              </w:rPr>
              <w:t>）</w:t>
            </w:r>
          </w:p>
        </w:tc>
        <w:tc>
          <w:tcPr>
            <w:tcW w:w="945"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仿宋_GB2312" w:hAnsi="仿宋_GB2312" w:eastAsia="仿宋_GB2312" w:cs="仿宋_GB2312"/>
                <w:color w:val="000000"/>
                <w:szCs w:val="21"/>
                <w:lang w:eastAsia="zh-CN"/>
              </w:rPr>
              <w:t>≥3</w:t>
            </w:r>
            <w:r>
              <w:rPr>
                <w:rFonts w:hint="eastAsia" w:ascii="仿宋_GB2312" w:hAnsi="仿宋_GB2312" w:eastAsia="仿宋_GB2312" w:cs="仿宋_GB2312"/>
                <w:color w:val="000000"/>
                <w:szCs w:val="21"/>
                <w:lang w:val="en-US" w:eastAsia="zh-CN"/>
              </w:rPr>
              <w:t>0</w:t>
            </w:r>
            <w:r>
              <w:rPr>
                <w:rFonts w:hint="eastAsia" w:ascii="仿宋_GB2312" w:hAnsi="仿宋_GB2312" w:eastAsia="仿宋_GB2312" w:cs="仿宋_GB2312"/>
                <w:color w:val="000000"/>
                <w:szCs w:val="21"/>
                <w:lang w:eastAsia="zh-CN"/>
              </w:rPr>
              <w:t>%</w:t>
            </w:r>
          </w:p>
        </w:tc>
        <w:tc>
          <w:tcPr>
            <w:tcW w:w="986"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仿宋_GB2312" w:hAnsi="仿宋_GB2312" w:eastAsia="仿宋_GB2312" w:cs="仿宋_GB2312"/>
                <w:color w:val="000000"/>
                <w:szCs w:val="21"/>
                <w:lang w:eastAsia="zh-CN"/>
              </w:rPr>
              <w:t>每100㎡计容积率建筑面积≥1个</w:t>
            </w:r>
          </w:p>
        </w:tc>
        <w:tc>
          <w:tcPr>
            <w:tcW w:w="741"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eastAsia="仿宋_GB2312" w:cs="Times New Roman"/>
                <w:color w:val="000000"/>
                <w:szCs w:val="21"/>
                <w:lang w:eastAsia="zh-CN"/>
              </w:rPr>
              <w:t>住宅、商业、商务金融及配套设施</w:t>
            </w:r>
          </w:p>
        </w:tc>
        <w:tc>
          <w:tcPr>
            <w:tcW w:w="677"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color w:val="000000"/>
                <w:szCs w:val="21"/>
                <w:lang w:val="en-US" w:eastAsia="zh-CN"/>
              </w:rPr>
              <w:t>≤100m</w:t>
            </w:r>
          </w:p>
        </w:tc>
        <w:tc>
          <w:tcPr>
            <w:tcW w:w="677" w:type="dxa"/>
            <w:vAlign w:val="center"/>
          </w:tcPr>
          <w:p>
            <w:pPr>
              <w:spacing w:line="300" w:lineRule="exact"/>
              <w:jc w:val="center"/>
              <w:rPr>
                <w:rFonts w:hint="default" w:ascii="Times New Roman" w:hAnsi="Times New Roman" w:eastAsia="仿宋_GB2312" w:cs="Times New Roman"/>
                <w:color w:val="000000"/>
                <w:kern w:val="2"/>
                <w:sz w:val="21"/>
                <w:szCs w:val="21"/>
                <w:lang w:val="en-US" w:eastAsia="zh-CN" w:bidi="ar-SA"/>
              </w:rPr>
            </w:pPr>
            <w:r>
              <w:rPr>
                <w:rFonts w:hint="eastAsia" w:ascii="仿宋_GB2312" w:hAnsi="仿宋_GB2312" w:eastAsia="仿宋_GB2312" w:cs="仿宋_GB2312"/>
                <w:color w:val="000000"/>
                <w:szCs w:val="21"/>
                <w:lang w:eastAsia="zh-CN"/>
              </w:rPr>
              <w:t>城镇住宅用地</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lang w:eastAsia="zh-CN"/>
              </w:rPr>
              <w:t>0年、商服用地40年</w:t>
            </w:r>
          </w:p>
        </w:tc>
      </w:tr>
    </w:tbl>
    <w:p>
      <w:pPr>
        <w:tabs>
          <w:tab w:val="left" w:pos="11340"/>
        </w:tabs>
        <w:spacing w:line="600" w:lineRule="exact"/>
        <w:rPr>
          <w:rFonts w:hint="default" w:ascii="Times New Roman" w:hAnsi="Times New Roman" w:eastAsia="仿宋_GB2312" w:cs="Times New Roman"/>
          <w:sz w:val="32"/>
          <w:szCs w:val="32"/>
        </w:rPr>
      </w:pPr>
    </w:p>
    <w:p>
      <w:pPr>
        <w:rPr>
          <w:rFonts w:hint="default" w:ascii="Times New Roman" w:hAnsi="Times New Roman" w:cs="Times New Roman"/>
        </w:rPr>
      </w:pPr>
    </w:p>
    <w:p>
      <w:pPr>
        <w:spacing w:line="360" w:lineRule="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7C6F5A"/>
    <w:rsid w:val="069C76D6"/>
    <w:rsid w:val="07386886"/>
    <w:rsid w:val="07895069"/>
    <w:rsid w:val="082B1937"/>
    <w:rsid w:val="09B41FDD"/>
    <w:rsid w:val="09EF4B5F"/>
    <w:rsid w:val="0B78752F"/>
    <w:rsid w:val="0B7A084A"/>
    <w:rsid w:val="0D167AC3"/>
    <w:rsid w:val="0D430223"/>
    <w:rsid w:val="0DF23899"/>
    <w:rsid w:val="0E177AE2"/>
    <w:rsid w:val="0E7A65F6"/>
    <w:rsid w:val="101D3BC2"/>
    <w:rsid w:val="10BD4DFA"/>
    <w:rsid w:val="137618AF"/>
    <w:rsid w:val="13D50F1B"/>
    <w:rsid w:val="161D2710"/>
    <w:rsid w:val="167673A1"/>
    <w:rsid w:val="16AA6FD1"/>
    <w:rsid w:val="16D56AAC"/>
    <w:rsid w:val="172121EB"/>
    <w:rsid w:val="17AA0480"/>
    <w:rsid w:val="17D36568"/>
    <w:rsid w:val="17F82A54"/>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7A65DB8"/>
    <w:rsid w:val="28774868"/>
    <w:rsid w:val="28C60AA0"/>
    <w:rsid w:val="2A6B42FA"/>
    <w:rsid w:val="2A870225"/>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40231E47"/>
    <w:rsid w:val="40363F40"/>
    <w:rsid w:val="409256E4"/>
    <w:rsid w:val="409E7D83"/>
    <w:rsid w:val="40B33D72"/>
    <w:rsid w:val="411B39E1"/>
    <w:rsid w:val="414E681A"/>
    <w:rsid w:val="42CE6157"/>
    <w:rsid w:val="4333178A"/>
    <w:rsid w:val="43706132"/>
    <w:rsid w:val="44966F93"/>
    <w:rsid w:val="45C047BF"/>
    <w:rsid w:val="47AF3E70"/>
    <w:rsid w:val="4A1228DB"/>
    <w:rsid w:val="4A1B1ECC"/>
    <w:rsid w:val="4AE74DD0"/>
    <w:rsid w:val="4C2E14D5"/>
    <w:rsid w:val="4D1610A1"/>
    <w:rsid w:val="4DF35994"/>
    <w:rsid w:val="4EC91786"/>
    <w:rsid w:val="4F861E18"/>
    <w:rsid w:val="512A0AC6"/>
    <w:rsid w:val="538C505C"/>
    <w:rsid w:val="540106D5"/>
    <w:rsid w:val="546946EF"/>
    <w:rsid w:val="565101CA"/>
    <w:rsid w:val="567F481B"/>
    <w:rsid w:val="578E459E"/>
    <w:rsid w:val="57A3234F"/>
    <w:rsid w:val="57C844D5"/>
    <w:rsid w:val="57EA41E9"/>
    <w:rsid w:val="594D206E"/>
    <w:rsid w:val="596A13D8"/>
    <w:rsid w:val="5A893EB0"/>
    <w:rsid w:val="5AF873B7"/>
    <w:rsid w:val="5D241B5A"/>
    <w:rsid w:val="5D471E01"/>
    <w:rsid w:val="5E3B0440"/>
    <w:rsid w:val="606821F3"/>
    <w:rsid w:val="60AD2817"/>
    <w:rsid w:val="623F28DB"/>
    <w:rsid w:val="63AA2C72"/>
    <w:rsid w:val="64D925C4"/>
    <w:rsid w:val="64E467ED"/>
    <w:rsid w:val="65651799"/>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61352C3"/>
    <w:rsid w:val="77DD303C"/>
    <w:rsid w:val="782A0826"/>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2021-10-09T03:08:00Z</cp:lastPrinted>
  <dcterms:modified xsi:type="dcterms:W3CDTF">2021-10-11T00:52:20Z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