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_GBK" w:hAnsi="华文中宋" w:eastAsia="方正小标宋_GBK" w:cs="Times New Roman"/>
          <w:b/>
          <w:bCs/>
          <w:spacing w:val="3"/>
          <w:kern w:val="2"/>
          <w:sz w:val="44"/>
          <w:szCs w:val="44"/>
          <w:lang w:val="en-US" w:eastAsia="zh-CN" w:bidi="ar-SA"/>
        </w:rPr>
      </w:pPr>
      <w:r>
        <w:rPr>
          <w:rFonts w:hint="eastAsia" w:ascii="方正小标宋_GBK" w:hAnsi="华文中宋" w:eastAsia="方正小标宋_GBK" w:cs="Times New Roman"/>
          <w:b/>
          <w:bCs/>
          <w:spacing w:val="3"/>
          <w:kern w:val="2"/>
          <w:sz w:val="44"/>
          <w:szCs w:val="44"/>
          <w:lang w:val="en-US" w:eastAsia="zh-CN" w:bidi="ar-SA"/>
        </w:rPr>
        <w:t>惠州市国有建设用地使用权</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_GBK" w:hAnsi="华文中宋" w:eastAsia="方正小标宋_GBK" w:cs="Times New Roman"/>
          <w:b/>
          <w:bCs/>
          <w:spacing w:val="3"/>
          <w:kern w:val="2"/>
          <w:sz w:val="44"/>
          <w:szCs w:val="44"/>
          <w:lang w:val="en-US" w:eastAsia="zh-CN" w:bidi="ar-SA"/>
        </w:rPr>
      </w:pPr>
      <w:r>
        <w:rPr>
          <w:rFonts w:hint="eastAsia" w:ascii="方正小标宋_GBK" w:hAnsi="华文中宋" w:eastAsia="方正小标宋_GBK" w:cs="Times New Roman"/>
          <w:b/>
          <w:bCs/>
          <w:spacing w:val="3"/>
          <w:kern w:val="2"/>
          <w:sz w:val="44"/>
          <w:szCs w:val="44"/>
          <w:lang w:val="en-US" w:eastAsia="zh-CN" w:bidi="ar-SA"/>
        </w:rPr>
        <w:t>网上挂牌出让须知</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惠公易土市直[2021]045号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（一）挂牌地块编号：GP2021-</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（二）地块位置：惠州市惠城区金山湖片区JSH-D02-09</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JSH-D02-10</w:t>
      </w:r>
      <w:r>
        <w:rPr>
          <w:rFonts w:hint="eastAsia" w:ascii="仿宋_GB2312" w:hAnsi="仿宋_GB2312" w:eastAsia="仿宋_GB2312" w:cs="仿宋_GB2312"/>
          <w:sz w:val="32"/>
          <w:szCs w:val="32"/>
          <w:lang w:val="en-US" w:eastAsia="zh-CN"/>
        </w:rPr>
        <w:t>地块</w:t>
      </w:r>
      <w:r>
        <w:rPr>
          <w:rFonts w:hint="eastAsia" w:ascii="仿宋_GB2312" w:hAnsi="仿宋_GB2312" w:eastAsia="仿宋_GB2312" w:cs="仿宋_GB2312"/>
          <w:sz w:val="32"/>
          <w:szCs w:val="32"/>
        </w:rPr>
        <w:t>（地下空间）;</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用地</w:t>
      </w:r>
      <w:r>
        <w:rPr>
          <w:rFonts w:hint="eastAsia" w:ascii="仿宋_GB2312" w:hAnsi="仿宋_GB2312" w:eastAsia="仿宋_GB2312" w:cs="仿宋_GB2312"/>
          <w:sz w:val="32"/>
          <w:szCs w:val="32"/>
        </w:rPr>
        <w:t>编号：JSH-D02-09、JSH-D02-10;</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（四）地块范围：平面界址点以《建设用地红线图》（案宗编号：YD20210031 )为准，宗地竖向界限以《建设用地规划设计条件》（案卷编号：PB20210028）规定为准；</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w:t>
      </w:r>
      <w:r>
        <w:rPr>
          <w:rFonts w:hint="eastAsia" w:ascii="仿宋_GB2312" w:hAnsi="仿宋_GB2312" w:eastAsia="仿宋_GB2312" w:cs="仿宋_GB2312"/>
          <w:sz w:val="32"/>
          <w:szCs w:val="32"/>
        </w:rPr>
        <w:t>JSH-D02-09</w:t>
      </w:r>
      <w:r>
        <w:rPr>
          <w:rFonts w:hint="eastAsia" w:ascii="仿宋_GB2312" w:hAnsi="仿宋_GB2312" w:eastAsia="仿宋_GB2312" w:cs="仿宋_GB2312"/>
          <w:sz w:val="32"/>
          <w:szCs w:val="32"/>
          <w:lang w:val="en-US" w:eastAsia="zh-CN"/>
        </w:rPr>
        <w:t>地块和</w:t>
      </w:r>
      <w:r>
        <w:rPr>
          <w:rFonts w:hint="eastAsia" w:ascii="仿宋_GB2312" w:hAnsi="仿宋_GB2312" w:eastAsia="仿宋_GB2312" w:cs="仿宋_GB2312"/>
          <w:sz w:val="32"/>
          <w:szCs w:val="32"/>
        </w:rPr>
        <w:t>JSH-D02-10</w:t>
      </w:r>
      <w:r>
        <w:rPr>
          <w:rFonts w:hint="eastAsia" w:ascii="仿宋_GB2312" w:hAnsi="仿宋_GB2312" w:eastAsia="仿宋_GB2312" w:cs="仿宋_GB2312"/>
          <w:sz w:val="32"/>
          <w:szCs w:val="32"/>
          <w:lang w:val="en-US" w:eastAsia="zh-CN"/>
        </w:rPr>
        <w:t>地块的</w:t>
      </w:r>
      <w:r>
        <w:rPr>
          <w:rFonts w:hint="eastAsia" w:ascii="仿宋_GB2312" w:hAnsi="仿宋_GB2312" w:eastAsia="仿宋_GB2312" w:cs="仿宋_GB2312"/>
          <w:sz w:val="32"/>
          <w:szCs w:val="32"/>
          <w:highlight w:val="none"/>
          <w:lang w:val="en-US" w:eastAsia="zh-CN"/>
        </w:rPr>
        <w:t>地下室</w:t>
      </w:r>
      <w:r>
        <w:rPr>
          <w:rFonts w:hint="eastAsia" w:ascii="仿宋_GB2312" w:hAnsi="仿宋_GB2312" w:eastAsia="仿宋_GB2312" w:cs="仿宋_GB2312"/>
          <w:sz w:val="32"/>
          <w:szCs w:val="32"/>
          <w:highlight w:val="none"/>
        </w:rPr>
        <w:t>宗地使用权面积为：12593.99平方米；</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（六）计算指标用地面积为：JSH-D02-09</w:t>
      </w:r>
      <w:r>
        <w:rPr>
          <w:rFonts w:hint="eastAsia" w:ascii="仿宋_GB2312" w:hAnsi="仿宋_GB2312" w:eastAsia="仿宋_GB2312" w:cs="仿宋_GB2312"/>
          <w:sz w:val="32"/>
          <w:szCs w:val="32"/>
          <w:highlight w:val="none"/>
          <w:lang w:val="en-US" w:eastAsia="zh-CN"/>
        </w:rPr>
        <w:t>为6048</w:t>
      </w:r>
      <w:r>
        <w:rPr>
          <w:rFonts w:hint="eastAsia" w:ascii="仿宋_GB2312" w:hAnsi="仿宋_GB2312" w:eastAsia="仿宋_GB2312" w:cs="仿宋_GB2312"/>
          <w:sz w:val="32"/>
          <w:szCs w:val="32"/>
          <w:highlight w:val="none"/>
        </w:rPr>
        <w:t>平方米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JSH-D02-10</w:t>
      </w:r>
      <w:r>
        <w:rPr>
          <w:rFonts w:hint="eastAsia" w:ascii="仿宋_GB2312" w:hAnsi="仿宋_GB2312" w:eastAsia="仿宋_GB2312" w:cs="仿宋_GB2312"/>
          <w:sz w:val="32"/>
          <w:szCs w:val="32"/>
          <w:lang w:val="en-US" w:eastAsia="zh-CN"/>
        </w:rPr>
        <w:t>为11069</w:t>
      </w:r>
      <w:r>
        <w:rPr>
          <w:rFonts w:hint="eastAsia" w:ascii="仿宋_GB2312" w:hAnsi="仿宋_GB2312" w:eastAsia="仿宋_GB2312" w:cs="仿宋_GB2312"/>
          <w:sz w:val="32"/>
          <w:szCs w:val="32"/>
          <w:highlight w:val="none"/>
        </w:rPr>
        <w:t>平方米；</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）土地用途为：交通服务场站用地；</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）土地使用权出让年期为：交通服务场站用地50年；</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）适建性：JSH-D02-09</w:t>
      </w:r>
      <w:r>
        <w:rPr>
          <w:rFonts w:hint="eastAsia" w:ascii="仿宋_GB2312" w:hAnsi="仿宋_GB2312" w:eastAsia="仿宋_GB2312" w:cs="仿宋_GB2312"/>
          <w:sz w:val="32"/>
          <w:szCs w:val="32"/>
          <w:lang w:val="en-US" w:eastAsia="zh-CN"/>
        </w:rPr>
        <w:t>为公交首末站、社会公共停车场及配套设施；JSH-D02-10为公园、社会公共停车场及配套设施</w:t>
      </w:r>
      <w:r>
        <w:rPr>
          <w:rFonts w:hint="eastAsia" w:ascii="仿宋_GB2312" w:hAnsi="仿宋_GB2312" w:eastAsia="仿宋_GB2312" w:cs="仿宋_GB2312"/>
          <w:sz w:val="32"/>
          <w:szCs w:val="32"/>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机动车停车位</w:t>
      </w:r>
      <w:r>
        <w:rPr>
          <w:rFonts w:hint="eastAsia" w:ascii="仿宋_GB2312" w:hAnsi="仿宋_GB2312" w:eastAsia="仿宋_GB2312" w:cs="仿宋_GB2312"/>
          <w:sz w:val="32"/>
          <w:szCs w:val="32"/>
          <w:lang w:eastAsia="zh-CN"/>
        </w:rPr>
        <w:t>：须配建地下社会公共停车位≥630个；</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 动工及竣工时间：该地块的动工时间为地块交付之日起</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年内，竣工时间为动工之日起三年内（因不可抗拒因素除外）；</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）竞得人在缴清地价款后一个月内办理交地手续，凭《交地确认书》、《出让合同》（正本）和地价款交款凭证等申请办理土地初始登记，领取《不动产权证书》。</w:t>
      </w:r>
      <w:r>
        <w:rPr>
          <w:rFonts w:hint="eastAsia" w:ascii="宋体" w:hAnsi="宋体" w:eastAsia="宋体" w:cs="宋体"/>
          <w:sz w:val="25"/>
          <w:szCs w:val="25"/>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四、土地开发及使用规定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color w:val="auto"/>
          <w:sz w:val="32"/>
          <w:szCs w:val="32"/>
        </w:rPr>
        <w:t>9700</w:t>
      </w:r>
      <w:r>
        <w:rPr>
          <w:rFonts w:hint="eastAsia" w:ascii="仿宋_GB2312" w:hAnsi="仿宋_GB2312" w:eastAsia="仿宋_GB2312" w:cs="仿宋_GB2312"/>
          <w:sz w:val="32"/>
          <w:szCs w:val="32"/>
        </w:rPr>
        <w:t>万元（含地价,不含地价溢价部分）。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color w:val="auto"/>
          <w:sz w:val="32"/>
          <w:szCs w:val="32"/>
        </w:rPr>
        <w:t>土地成交价款须以人民币支付，竞得人须在签订《出让合同》之日起一个月内缴清土地成交价款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color w:val="auto"/>
          <w:sz w:val="32"/>
          <w:szCs w:val="32"/>
        </w:rPr>
        <w:t>竞得人在用地红线内开发建设必须符合城市规划要求，必须按《建设用地规划设计条件》（案卷编号：PB20210028）规划控制指标要求及有关规定进行规划设计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color w:val="auto"/>
          <w:sz w:val="32"/>
          <w:szCs w:val="32"/>
          <w:highlight w:val="none"/>
        </w:rPr>
        <w:t>该地权利清晰，安置补偿落实到位，没有法律经济纠纷，具备动工开发所必须的基本条件。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w:t>
      </w:r>
      <w:r>
        <w:rPr>
          <w:rFonts w:hint="eastAsia" w:ascii="仿宋_GB2312" w:hAnsi="仿宋_GB2312" w:eastAsia="仿宋_GB2312" w:cs="仿宋_GB2312"/>
          <w:color w:val="auto"/>
          <w:sz w:val="32"/>
          <w:szCs w:val="32"/>
          <w:highlight w:val="none"/>
        </w:rPr>
        <w:t>竞得人须</w:t>
      </w:r>
      <w:r>
        <w:rPr>
          <w:rFonts w:hint="eastAsia" w:ascii="仿宋_GB2312" w:hAnsi="仿宋_GB2312" w:eastAsia="仿宋_GB2312" w:cs="仿宋_GB2312"/>
          <w:color w:val="auto"/>
          <w:sz w:val="32"/>
          <w:szCs w:val="32"/>
          <w:highlight w:val="none"/>
          <w:lang w:val="en-US" w:eastAsia="zh-CN"/>
        </w:rPr>
        <w:t>按规划要求及相关规范承担</w:t>
      </w:r>
      <w:r>
        <w:rPr>
          <w:rFonts w:hint="eastAsia" w:ascii="仿宋_GB2312" w:hAnsi="仿宋_GB2312" w:eastAsia="仿宋_GB2312" w:cs="仿宋_GB2312"/>
          <w:color w:val="auto"/>
          <w:sz w:val="32"/>
          <w:szCs w:val="32"/>
          <w:highlight w:val="none"/>
        </w:rPr>
        <w:t>公交首末站和公园绿地</w:t>
      </w:r>
      <w:r>
        <w:rPr>
          <w:rFonts w:hint="eastAsia" w:ascii="仿宋_GB2312" w:hAnsi="仿宋_GB2312" w:eastAsia="仿宋_GB2312" w:cs="仿宋_GB2312"/>
          <w:color w:val="auto"/>
          <w:sz w:val="32"/>
          <w:szCs w:val="32"/>
          <w:highlight w:val="none"/>
          <w:lang w:val="en-US" w:eastAsia="zh-CN"/>
        </w:rPr>
        <w:t>的建设</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建成后</w:t>
      </w:r>
      <w:r>
        <w:rPr>
          <w:rFonts w:hint="eastAsia" w:ascii="仿宋_GB2312" w:hAnsi="仿宋_GB2312" w:eastAsia="仿宋_GB2312" w:cs="仿宋_GB2312"/>
          <w:color w:val="auto"/>
          <w:sz w:val="32"/>
          <w:szCs w:val="32"/>
          <w:highlight w:val="none"/>
        </w:rPr>
        <w:t>无偿移交给政府相关部门行业管理部门，且上述地块应同步规划设计、同步建设、同步验收交付使用</w:t>
      </w:r>
      <w:r>
        <w:rPr>
          <w:rFonts w:hint="eastAsia" w:ascii="仿宋_GB2312" w:hAnsi="仿宋_GB2312" w:eastAsia="仿宋_GB2312" w:cs="仿宋_GB2312"/>
          <w:color w:val="auto"/>
          <w:sz w:val="32"/>
          <w:szCs w:val="32"/>
          <w:highlight w:val="none"/>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中华人民共和国境内外的法人、自然人和其他组织（除法律法规另有规定外）均可申请参加竞买。申请人可以单独申请，也可以联合申请</w:t>
      </w:r>
      <w:r>
        <w:rPr>
          <w:rFonts w:hint="eastAsia" w:ascii="仿宋_GB2312" w:hAnsi="仿宋_GB2312" w:eastAsia="仿宋_GB2312" w:cs="仿宋_GB2312"/>
          <w:kern w:val="2"/>
          <w:sz w:val="32"/>
          <w:szCs w:val="32"/>
          <w:lang w:val="en-US" w:eastAsia="zh-CN" w:bidi="ar-SA"/>
        </w:rPr>
        <w:t>。申请人还应具备下列条件：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按时足额交纳竞买保证金。该宗地竞买保证金可用人民币或外币（暂限于美元、港币）支付。以人民币缴交竞买保证金的，须缴交人民币1020万元，如以外币缴交竞买保证金的，须缴交美元159万元、港币1231万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预先办理数字证书。本次国有建设用地使用权网上挂牌出让只能在互联网上，通过惠州市公共资源交易中心土地与矿业网上挂牌交易系统（https://www.hzgtjy.com/，以下简称“网上挂牌交易系统”）进行。只有通过网上注册、办理数字证书、按要求足额交付竞买保证金的申请人，才能参加网上挂牌交易活动。</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（三）申请人及其控股股东存在下列违法、违规、违约行为之一的，不得参与上述地块竞买活动：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1.存在伪造公文骗取用地和非法倒卖土地等犯罪行为的；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2.存在非法转让土地使用权等违法行为的；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3.因企业原因造成土地闲置一年以上且至报名日止未处罚完结的；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4.开发建设企业有违背出让合同约定条件开发利用土地情形且至报名日止未处罚完结的；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5.至报名日止仍拖欠政府地价款的;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6.被列入问题楼盘开发企业黑名单的;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7.存在其它被禁止竞买土地行为的</w:t>
      </w:r>
      <w:r>
        <w:rPr>
          <w:rFonts w:hint="eastAsia" w:ascii="仿宋_GB2312" w:hAnsi="仿宋_GB2312" w:eastAsia="仿宋_GB2312" w:cs="仿宋_GB2312"/>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六、违约及处理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default" w:ascii="Times New Roman" w:hAnsi="Times New Roman" w:eastAsia="仿宋_GB2312" w:cs="Times New Roman"/>
          <w:sz w:val="32"/>
          <w:szCs w:val="32"/>
        </w:rPr>
        <w:t>竞得人有下列行为之一的，取消竞得人资格，</w:t>
      </w:r>
      <w:r>
        <w:rPr>
          <w:rFonts w:hint="default" w:ascii="Times New Roman" w:hAnsi="Times New Roman" w:eastAsia="仿宋_GB2312" w:cs="Times New Roman"/>
          <w:sz w:val="32"/>
          <w:szCs w:val="32"/>
          <w:lang w:val="en-US" w:eastAsia="zh-CN"/>
        </w:rPr>
        <w:t>竞买保证金不予退还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并由有关部门依法处理，</w:t>
      </w:r>
      <w:r>
        <w:rPr>
          <w:rFonts w:hint="default" w:ascii="Times New Roman" w:hAnsi="Times New Roman" w:eastAsia="仿宋_GB2312" w:cs="Times New Roman"/>
          <w:sz w:val="32"/>
          <w:szCs w:val="32"/>
        </w:rPr>
        <w:t>造成损失的，竞得人还应依法承担赔偿责任</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（一）不符合竞买资格条件的。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（二）采取行贿、恶意串通等非法手段竞得的。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（三）竞得人以其他非法手段竞得的。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（四）竞得人逾期或拒绝签订《成交确认书》的。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（五）竞得人逾期或拒绝签订《出让合同》的。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（六）不按本须知规定提供有关纸质文件材料，或提供虚假文件材料、隐瞒重要事实，引起交易纠纷的。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pPr>
      <w:r>
        <w:rPr>
          <w:rFonts w:hint="eastAsia" w:ascii="仿宋_GB2312" w:hAnsi="仿宋_GB2312" w:eastAsia="仿宋_GB2312" w:cs="仿宋_GB2312"/>
          <w:kern w:val="2"/>
          <w:sz w:val="32"/>
          <w:szCs w:val="32"/>
          <w:lang w:val="en-US" w:eastAsia="zh-CN" w:bidi="ar-SA"/>
        </w:rPr>
        <w:t>（七）构成违约责任的其他行为。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七、网上挂牌出让地块的起始价、增加幅度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挂牌起始价为人民币</w:t>
      </w:r>
      <w:r>
        <w:rPr>
          <w:rFonts w:hint="eastAsia" w:ascii="仿宋_GB2312" w:hAnsi="仿宋_GB2312" w:eastAsia="仿宋_GB2312" w:cs="仿宋_GB2312"/>
          <w:kern w:val="2"/>
          <w:sz w:val="32"/>
          <w:szCs w:val="32"/>
          <w:u w:val="single"/>
          <w:lang w:val="en-US" w:eastAsia="zh-CN" w:bidi="ar-SA"/>
        </w:rPr>
        <w:t>叁仟肆佰万元整</w:t>
      </w:r>
      <w:r>
        <w:rPr>
          <w:rFonts w:hint="eastAsia" w:ascii="仿宋_GB2312" w:hAnsi="仿宋_GB2312" w:eastAsia="仿宋_GB2312" w:cs="仿宋_GB2312"/>
          <w:kern w:val="2"/>
          <w:sz w:val="32"/>
          <w:szCs w:val="32"/>
          <w:lang w:val="en-US" w:eastAsia="zh-CN" w:bidi="ar-SA"/>
        </w:rPr>
        <w:t>（大写）（￥</w:t>
      </w:r>
      <w:r>
        <w:rPr>
          <w:rFonts w:hint="eastAsia" w:ascii="仿宋_GB2312" w:hAnsi="仿宋_GB2312" w:eastAsia="仿宋_GB2312" w:cs="仿宋_GB2312"/>
          <w:sz w:val="32"/>
          <w:szCs w:val="32"/>
          <w:u w:val="single"/>
        </w:rPr>
        <w:t>3400</w:t>
      </w:r>
      <w:r>
        <w:rPr>
          <w:rFonts w:hint="eastAsia" w:ascii="仿宋_GB2312" w:hAnsi="仿宋_GB2312" w:eastAsia="仿宋_GB2312" w:cs="仿宋_GB2312"/>
          <w:kern w:val="2"/>
          <w:sz w:val="32"/>
          <w:szCs w:val="32"/>
          <w:lang w:val="en-US" w:eastAsia="zh-CN" w:bidi="ar-SA"/>
        </w:rPr>
        <w:t>万元）,增价幅度为人民币</w:t>
      </w:r>
      <w:r>
        <w:rPr>
          <w:rFonts w:hint="eastAsia" w:ascii="仿宋_GB2312" w:hAnsi="仿宋_GB2312" w:eastAsia="仿宋_GB2312" w:cs="仿宋_GB2312"/>
          <w:kern w:val="2"/>
          <w:sz w:val="32"/>
          <w:szCs w:val="32"/>
          <w:u w:val="single"/>
          <w:lang w:val="en-US" w:eastAsia="zh-CN" w:bidi="ar-SA"/>
        </w:rPr>
        <w:t>壹佰万元</w:t>
      </w:r>
      <w:r>
        <w:rPr>
          <w:rFonts w:hint="eastAsia" w:ascii="仿宋_GB2312" w:hAnsi="仿宋_GB2312" w:eastAsia="仿宋_GB2312" w:cs="仿宋_GB2312"/>
          <w:kern w:val="2"/>
          <w:sz w:val="32"/>
          <w:szCs w:val="32"/>
          <w:lang w:val="en-US" w:eastAsia="zh-CN" w:bidi="ar-SA"/>
        </w:rPr>
        <w:t>（大写）（￥</w:t>
      </w:r>
      <w:r>
        <w:rPr>
          <w:rFonts w:hint="eastAsia" w:ascii="仿宋_GB2312" w:hAnsi="仿宋_GB2312" w:eastAsia="仿宋_GB2312" w:cs="仿宋_GB2312"/>
          <w:kern w:val="2"/>
          <w:sz w:val="32"/>
          <w:szCs w:val="32"/>
          <w:u w:val="single"/>
          <w:lang w:val="en-US" w:eastAsia="zh-CN" w:bidi="ar-SA"/>
        </w:rPr>
        <w:t>100</w:t>
      </w:r>
      <w:r>
        <w:rPr>
          <w:rFonts w:hint="eastAsia" w:ascii="仿宋_GB2312" w:hAnsi="仿宋_GB2312" w:eastAsia="仿宋_GB2312" w:cs="仿宋_GB2312"/>
          <w:kern w:val="2"/>
          <w:sz w:val="32"/>
          <w:szCs w:val="32"/>
          <w:lang w:val="en-US" w:eastAsia="zh-CN" w:bidi="ar-SA"/>
        </w:rPr>
        <w:t>万元）。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八、本次网上挂牌出让活动有关时间</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网上挂牌时间为10个工作日，不包括法定节假日。具体如下：</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（一）网上挂牌起始时间：2021年11月22日9时。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（二）网上挂牌截止时间：2021年12月6日10时。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（三）网上挂牌交纳保证金截止时间：2021年12月6日9时。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（四）网上挂牌报价时间：网上挂牌起止时间内。</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九、挂牌文件获取</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挂牌出让地块现状图；</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rPr>
        <w:t>《建设用地规划设计条件》（案卷编号：PB20210028）</w:t>
      </w:r>
      <w:r>
        <w:rPr>
          <w:rFonts w:hint="eastAsia" w:ascii="仿宋_GB2312" w:hAnsi="仿宋_GB2312" w:eastAsia="仿宋_GB2312" w:cs="仿宋_GB2312"/>
          <w:sz w:val="32"/>
          <w:szCs w:val="32"/>
        </w:rPr>
        <w:t>；</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val="en-US" w:eastAsia="zh-CN"/>
        </w:rPr>
        <w:t>国有建设用地使用权电子挂牌</w:t>
      </w:r>
      <w:r>
        <w:rPr>
          <w:rFonts w:hint="eastAsia" w:ascii="仿宋_GB2312" w:hAnsi="仿宋_GB2312" w:eastAsia="仿宋_GB2312" w:cs="仿宋_GB2312"/>
          <w:sz w:val="32"/>
          <w:szCs w:val="32"/>
        </w:rPr>
        <w:t>交易成交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《国有建设用地使用权出让合同》（以下简称“出让合同”）样本；</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sz w:val="32"/>
          <w:szCs w:val="32"/>
          <w:lang w:val="en-US" w:eastAsia="zh-CN"/>
        </w:rPr>
        <w:t>8、其他相关文件</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十、办理数字证书</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w:t>
      </w:r>
      <w:r>
        <w:rPr>
          <w:rFonts w:hint="eastAsia" w:ascii="仿宋_GB2312" w:hAnsi="仿宋_GB2312" w:eastAsia="仿宋_GB2312" w:cs="仿宋_GB2312"/>
          <w:sz w:val="32"/>
          <w:szCs w:val="32"/>
        </w:rPr>
        <w:t>0752-7121029</w:t>
      </w:r>
      <w:r>
        <w:rPr>
          <w:rFonts w:hint="eastAsia" w:ascii="仿宋_GB2312" w:hAnsi="仿宋_GB2312" w:eastAsia="仿宋_GB2312" w:cs="仿宋_GB2312"/>
          <w:sz w:val="32"/>
          <w:szCs w:val="32"/>
          <w:highlight w:val="none"/>
        </w:rPr>
        <w:t>）申请办理。</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数字证书的办理流程详见网上挂牌交易系统上的《数字证书办理指南》</w:t>
      </w:r>
      <w:r>
        <w:rPr>
          <w:rFonts w:hint="eastAsia" w:ascii="仿宋_GB2312" w:hAnsi="仿宋_GB2312" w:eastAsia="仿宋_GB2312" w:cs="仿宋_GB2312"/>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十一、答疑及现场踏勘</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申请人对网上挂牌出让文件有疑问的，可在网上挂牌活动开始前以书面或者口头方式向本中心咨询。有意竞买者可自行踏勘现场。（可在网上查阅位置图和现状图）。</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十二、竞买保证金</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（一）竞买保证金是申请人参加网上挂牌交易活动的资格条件。按规定将竞买保证金汇入指定账户，是参加网上挂牌交易活动的必经程序。</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（二）本宗地竞买保证金到账截止时间为2021年12月6 日9时整，竞买保证金为人民币</w:t>
      </w:r>
      <w:r>
        <w:rPr>
          <w:rFonts w:hint="eastAsia" w:ascii="仿宋_GB2312" w:hAnsi="仿宋_GB2312" w:eastAsia="仿宋_GB2312" w:cs="仿宋_GB2312"/>
          <w:kern w:val="2"/>
          <w:sz w:val="32"/>
          <w:szCs w:val="32"/>
          <w:u w:val="single"/>
          <w:lang w:val="en-US" w:eastAsia="zh-CN" w:bidi="ar-SA"/>
        </w:rPr>
        <w:t>壹仟零贰拾万元整</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u w:val="single"/>
          <w:lang w:val="en-US" w:eastAsia="zh-CN" w:bidi="ar-SA"/>
        </w:rPr>
        <w:t>1020</w:t>
      </w:r>
      <w:r>
        <w:rPr>
          <w:rFonts w:hint="eastAsia" w:ascii="仿宋_GB2312" w:hAnsi="仿宋_GB2312" w:eastAsia="仿宋_GB2312" w:cs="仿宋_GB2312"/>
          <w:kern w:val="2"/>
          <w:sz w:val="32"/>
          <w:szCs w:val="32"/>
          <w:lang w:val="en-US" w:eastAsia="zh-CN" w:bidi="ar-SA"/>
        </w:rPr>
        <w:t>万元）；如以外币缴交竞买保证金的，须缴交美元</w:t>
      </w:r>
      <w:r>
        <w:rPr>
          <w:rFonts w:hint="eastAsia" w:ascii="仿宋_GB2312" w:hAnsi="仿宋_GB2312" w:eastAsia="仿宋_GB2312" w:cs="仿宋_GB2312"/>
          <w:kern w:val="2"/>
          <w:sz w:val="32"/>
          <w:szCs w:val="32"/>
          <w:u w:val="single"/>
          <w:lang w:val="en-US" w:eastAsia="zh-CN" w:bidi="ar-SA"/>
        </w:rPr>
        <w:t>壹佰伍拾玖万元整</w:t>
      </w:r>
      <w:r>
        <w:rPr>
          <w:rFonts w:hint="eastAsia" w:ascii="仿宋_GB2312" w:hAnsi="仿宋_GB2312" w:eastAsia="仿宋_GB2312" w:cs="仿宋_GB2312"/>
          <w:kern w:val="2"/>
          <w:sz w:val="32"/>
          <w:szCs w:val="32"/>
          <w:lang w:val="en-US" w:eastAsia="zh-CN" w:bidi="ar-SA"/>
        </w:rPr>
        <w:t>(USD</w:t>
      </w:r>
      <w:r>
        <w:rPr>
          <w:rFonts w:hint="eastAsia" w:ascii="仿宋_GB2312" w:hAnsi="仿宋_GB2312" w:eastAsia="仿宋_GB2312" w:cs="仿宋_GB2312"/>
          <w:kern w:val="2"/>
          <w:sz w:val="32"/>
          <w:szCs w:val="32"/>
          <w:u w:val="single"/>
          <w:lang w:val="en-US" w:eastAsia="zh-CN" w:bidi="ar-SA"/>
        </w:rPr>
        <w:t>159</w:t>
      </w:r>
      <w:r>
        <w:rPr>
          <w:rFonts w:hint="eastAsia" w:ascii="仿宋_GB2312" w:hAnsi="仿宋_GB2312" w:eastAsia="仿宋_GB2312" w:cs="仿宋_GB2312"/>
          <w:kern w:val="2"/>
          <w:sz w:val="32"/>
          <w:szCs w:val="32"/>
          <w:lang w:val="en-US" w:eastAsia="zh-CN" w:bidi="ar-SA"/>
        </w:rPr>
        <w:t>万元）或港币</w:t>
      </w:r>
      <w:r>
        <w:rPr>
          <w:rFonts w:hint="eastAsia" w:ascii="仿宋_GB2312" w:hAnsi="仿宋_GB2312" w:eastAsia="仿宋_GB2312" w:cs="仿宋_GB2312"/>
          <w:kern w:val="2"/>
          <w:sz w:val="32"/>
          <w:szCs w:val="32"/>
          <w:u w:val="single"/>
          <w:lang w:val="en-US" w:eastAsia="zh-CN" w:bidi="ar-SA"/>
        </w:rPr>
        <w:t>壹仟贰佰叁拾壹万元整</w:t>
      </w:r>
      <w:r>
        <w:rPr>
          <w:rFonts w:hint="eastAsia" w:ascii="仿宋_GB2312" w:hAnsi="仿宋_GB2312" w:eastAsia="仿宋_GB2312" w:cs="仿宋_GB2312"/>
          <w:kern w:val="2"/>
          <w:sz w:val="32"/>
          <w:szCs w:val="32"/>
          <w:lang w:val="en-US" w:eastAsia="zh-CN" w:bidi="ar-SA"/>
        </w:rPr>
        <w:t>(HKD</w:t>
      </w:r>
      <w:r>
        <w:rPr>
          <w:rFonts w:hint="eastAsia" w:ascii="仿宋_GB2312" w:hAnsi="仿宋_GB2312" w:eastAsia="仿宋_GB2312" w:cs="仿宋_GB2312"/>
          <w:kern w:val="2"/>
          <w:sz w:val="32"/>
          <w:szCs w:val="32"/>
          <w:u w:val="single"/>
          <w:lang w:val="en-US" w:eastAsia="zh-CN" w:bidi="ar-SA"/>
        </w:rPr>
        <w:t>1231</w:t>
      </w:r>
      <w:r>
        <w:rPr>
          <w:rFonts w:hint="eastAsia" w:ascii="仿宋_GB2312" w:hAnsi="仿宋_GB2312" w:eastAsia="仿宋_GB2312" w:cs="仿宋_GB2312"/>
          <w:kern w:val="2"/>
          <w:sz w:val="32"/>
          <w:szCs w:val="32"/>
          <w:lang w:val="en-US" w:eastAsia="zh-CN" w:bidi="ar-SA"/>
        </w:rPr>
        <w:t>万元）。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（三）竞买人应当提前交纳竞买保证金以确保在到账截止时间前到账，超过到账截止时间的保证金，网上挂牌交易系统将不予受理，造成的损失由竞买人自行承担。</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（四）跨地区或跨行转账的竞买人，需预足资金的在途时间，以免影响竞买人及时取得竞买资格。</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（五）竞买保证金到账时间以网上挂牌交易系统颁发《保证金到账通知书》为准。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（六）竞买保证金开户单位：惠州市公共资源交易中心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竞买保证金账号：网上挂牌交易系统随机产生子账号。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开户银行：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1、中国建设银行惠州广场支行。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2、中国银行惠州分行。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3、中国工商银行股份有限公司惠州富力国际中心支行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4、中国农业银行惠州分行。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5、广发银行惠州江北支行。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6、交通银行惠州分行。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7、惠州市农村商业银行股份有限公司惠城支行。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8、上海浦东发展银行股份有限公司惠州分行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9、中国民生银行股份有限公司惠州分行。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10、中信银行股份有限公司惠州分行。(备注:中信银行股份有限公司惠州分行本行转账须到银行柜面办理)。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十三、网上报价规则</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（一）本次网上挂牌以增价方式进行报价，每次加价幅度为本须知规定增价幅度的整数倍。</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（二）竞买人的首次报价不低于起始价，此后的竞买人报价须高于报价当时的最新网上挂牌价格，并以增价幅度的整数倍加价。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（三）竞买人通过网上挂牌交易提交的报价一经报出，不得撤回。</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（四）在报价期间，竞买人可多次报价。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（五）在报价期内，竞买人必须进行一次有效报价，才能参加网上限时竞价。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（六）竞买人报价有下列情形之一的，为无效报价：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1、报价未在网上挂牌期限内收到的。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2、报价因竞买人网络故障未在网上挂牌报价期限内收到的。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3、报价不符合报价规则的。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4、报价低于网上挂牌起始价的。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5、报价不符合网上挂牌公告、须知及相关交易文件规定的其他情形。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十四、系统操作</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土地与矿业交易系统竞买人操作视频可在本中心网上挂牌交易系统（https://www.hzgtjy.com/）下载。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十五、网上挂牌程序</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（一）公布网上挂牌信息</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我中心将有关宗地的位置、面积、用途、使用年期、规划要求、起始价、增价规则及增价幅度等予以公布。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有意竞买者可登录惠州市公共资源交易中心土地与矿业网上挂牌交易系统网站(https://www.hzgtjy.com/)查询。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（二）申请竞买</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（三）交纳保证金</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（四）网上挂牌报价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1、网上挂牌交易从网上挂牌起始时间起开始接受报价。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2、办理好数字证书、按时足额交付竞买保证金并经网上挂牌交易系统确认的竞买人通过网上挂牌交易系统进行报价。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3、网上挂牌交易系统对符合规定的报价予以确认，并更新显示当前报价。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4、网上挂牌交易系统继续接受新的报价。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5、网上挂牌报价规则见《须知》第十三条。</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（五）网上挂牌截止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1、网上挂牌交易系统将在网上挂牌截止时间自动确定网上挂牌截止。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2、网上挂牌交易期限截止时，无人报价的，挂牌不成交。</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3、网上挂牌交易期限截止时，只有1个竞买人报价，且报价不低于起始价的，挂牌成交，该报价者为竞得人。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网上限时竞价中无人报价的，以网上挂牌截止时出价最高且报价不低于起始价者为竞得人。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经网上挂牌交易系统询问完毕后，没有竞买人表示愿意继续竞价的，以网上挂牌交易截止时报价最高且报价不低于起始价者为竞得人。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（六）资格审查和签订《成交确认书》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highlight w:val="none"/>
        </w:rPr>
        <w:t>网上挂牌交易结束后，竞得人应当自行下载打印《竞买申请书》、《竞价结果通知书》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《竞买保证金到账通知书》并盖章</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highlight w:val="none"/>
        </w:rPr>
        <w:t>竞</w:t>
      </w:r>
      <w:r>
        <w:rPr>
          <w:rFonts w:hint="eastAsia" w:ascii="仿宋_GB2312" w:hAnsi="仿宋_GB2312" w:eastAsia="仿宋_GB2312" w:cs="仿宋_GB2312"/>
          <w:sz w:val="32"/>
          <w:szCs w:val="32"/>
          <w:highlight w:val="none"/>
          <w:lang w:val="en-US" w:eastAsia="zh-CN"/>
        </w:rPr>
        <w:t>得</w:t>
      </w:r>
      <w:r>
        <w:rPr>
          <w:rFonts w:hint="eastAsia" w:ascii="仿宋_GB2312" w:hAnsi="仿宋_GB2312" w:eastAsia="仿宋_GB2312" w:cs="仿宋_GB2312"/>
          <w:sz w:val="32"/>
          <w:szCs w:val="32"/>
          <w:highlight w:val="none"/>
        </w:rPr>
        <w:t>人应当在网上挂牌交易结果公布</w:t>
      </w:r>
      <w:r>
        <w:rPr>
          <w:rFonts w:hint="eastAsia" w:ascii="仿宋_GB2312" w:hAnsi="仿宋_GB2312" w:eastAsia="仿宋_GB2312" w:cs="仿宋_GB2312"/>
          <w:sz w:val="32"/>
          <w:szCs w:val="32"/>
          <w:highlight w:val="none"/>
          <w:lang w:val="en-US" w:eastAsia="zh-CN"/>
        </w:rPr>
        <w:t>之日起5</w:t>
      </w:r>
      <w:r>
        <w:rPr>
          <w:rFonts w:hint="eastAsia" w:ascii="仿宋_GB2312" w:hAnsi="仿宋_GB2312" w:eastAsia="仿宋_GB2312" w:cs="仿宋_GB2312"/>
          <w:sz w:val="32"/>
          <w:szCs w:val="32"/>
          <w:highlight w:val="none"/>
        </w:rPr>
        <w:t>个工作</w:t>
      </w:r>
      <w:r>
        <w:rPr>
          <w:rFonts w:hint="eastAsia" w:ascii="仿宋_GB2312" w:hAnsi="仿宋_GB2312" w:eastAsia="仿宋_GB2312" w:cs="仿宋_GB2312"/>
          <w:color w:val="auto"/>
          <w:sz w:val="32"/>
          <w:szCs w:val="32"/>
          <w:highlight w:val="none"/>
        </w:rPr>
        <w:t>日内持公司公章及下列有关纸质材料到本中心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由委托方进行资格审查，符合竞买资格的，竞得人应当</w:t>
      </w:r>
      <w:r>
        <w:rPr>
          <w:rFonts w:hint="eastAsia" w:ascii="仿宋_GB2312" w:hAnsi="仿宋_GB2312" w:eastAsia="仿宋_GB2312" w:cs="仿宋_GB2312"/>
          <w:color w:val="auto"/>
          <w:sz w:val="32"/>
          <w:szCs w:val="32"/>
          <w:highlight w:val="none"/>
        </w:rPr>
        <w:t>在网上挂牌交易结果公布</w:t>
      </w:r>
      <w:r>
        <w:rPr>
          <w:rFonts w:hint="eastAsia" w:ascii="仿宋_GB2312" w:hAnsi="仿宋_GB2312" w:eastAsia="仿宋_GB2312" w:cs="仿宋_GB2312"/>
          <w:color w:val="auto"/>
          <w:sz w:val="32"/>
          <w:szCs w:val="32"/>
          <w:highlight w:val="none"/>
          <w:lang w:val="en-US" w:eastAsia="zh-CN"/>
        </w:rPr>
        <w:t>之日起5</w:t>
      </w:r>
      <w:r>
        <w:rPr>
          <w:rFonts w:hint="eastAsia" w:ascii="仿宋_GB2312" w:hAnsi="仿宋_GB2312" w:eastAsia="仿宋_GB2312" w:cs="仿宋_GB2312"/>
          <w:color w:val="auto"/>
          <w:sz w:val="32"/>
          <w:szCs w:val="32"/>
          <w:highlight w:val="none"/>
        </w:rPr>
        <w:t>个工作日内</w:t>
      </w:r>
      <w:r>
        <w:rPr>
          <w:rFonts w:hint="eastAsia" w:ascii="仿宋_GB2312" w:hAnsi="仿宋_GB2312" w:eastAsia="仿宋_GB2312" w:cs="仿宋_GB2312"/>
          <w:color w:val="auto"/>
          <w:sz w:val="32"/>
          <w:szCs w:val="32"/>
          <w:highlight w:val="none"/>
          <w:lang w:val="en-US" w:eastAsia="zh-CN"/>
        </w:rPr>
        <w:t>签订</w:t>
      </w:r>
      <w:r>
        <w:rPr>
          <w:rFonts w:hint="eastAsia" w:ascii="仿宋_GB2312" w:hAnsi="仿宋_GB2312" w:eastAsia="仿宋_GB2312" w:cs="仿宋_GB2312"/>
          <w:color w:val="auto"/>
          <w:sz w:val="32"/>
          <w:szCs w:val="32"/>
          <w:highlight w:val="none"/>
        </w:rPr>
        <w:t>《成交确认书》</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（1）《竞买申请书》（加盖公章）。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（2）《竞价结果通知书》（加盖公章）。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（3）《竞买保证金到账通知书》（加盖公章）。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（4）转账凭证复印件（加盖公章）。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（5）申请竞买人有效的《营业执照》复印件（加盖公章）（二份）。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（6）法定代表人身份证复印件（加盖公章）（二份）。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（7）授权他人代理的授权委托书及代理人身份证复印件（核对原件）。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（8）联合竞买协议（联合竞买的提供）。</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（9）竞买人及其控股股东不存在违法、违规、违约行为的承诺书。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上述第（7）、（9）项材料须使用本中心标准样本，可在本系统的“挂牌文件”中下载。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竞买人如需保存上述竞买报名资料应自留备份，本中心不予退还。</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联合竞买协议要约定联合各方的权利和义务。必须明确表达参与联合竞买的各方、参与竞买的代表人、联合各方的出资比例和签订《出让合同》时的受让人。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上述文件中，申请书必须用中文书写，其他文件可以使用其它语言，但必须附中文译本，所有文件的解释以中文译本为准。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（七）网上挂牌出让结果公示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我中心将在本次国有建设用地使用权网上挂牌出让活动结束后10个工作日内，在中国土地市场网、惠州市公共资源交易中心网和本中心电子显示屏公布本次国有土地使用权网上挂牌出让结果。</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十六、注意事项</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（二）本次国有建设用地使用权网上挂牌出让为无底价挂牌出让，按照价高者得的原则确定竞得人。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sz w:val="3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国有建设用地使用权出让合同》（以下简称《出让合同》），在竞得人按约定办理完新公司注册登记手续后，再与新公司签订国有建设用地使用权出让合同补充条款，也可按约定直接与新公司签订《出让合同》</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sz w:val="3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补充条款；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（五）确定竞得人后，竞得人持《竞价结果通知书》以及参加本宗地网上挂牌交易的所须资料到惠州市公共资源交易中心土地矿业交易部申办相关成交确认手续。</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《竞价结果通知书》对挂牌人和竞得人具有法律效力，挂牌人改变网上挂牌结果的，或者竞得人放弃竞得宗地的，应当承担相应法律责任。</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网上挂牌系统确定成交后，竞得人缴纳的竞买保证金按成交价的10%转作定金。如竞买保证金不足以缴纳定金，不足部分在交易系统确定成交之日起5个工作日内补齐；如竞买保证金转作定金后有剩余，余额抵作土地成交价的预付款。竞得人签订《出让合同》后，定金可抵作土地成交价款，余额转作成交价款。</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以外币缴交竞买保证金的，扣除定金后余额部分返回给竞得人，待竞得人按时缴清成交价款后，再将定金退还，不计利息。</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未竞得人缴纳的竞买保证金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以人民币缴纳的竞买保证金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w:t>
      </w:r>
      <w:r>
        <w:rPr>
          <w:rFonts w:hint="eastAsia" w:ascii="仿宋_GB2312" w:hAnsi="仿宋_GB2312" w:eastAsia="仿宋_GB2312" w:cs="仿宋_GB2312"/>
          <w:sz w:val="32"/>
          <w:szCs w:val="32"/>
          <w:lang w:val="en-US" w:eastAsia="zh-CN"/>
        </w:rPr>
        <w:t>通过网上退还的形式原路退还保证金</w:t>
      </w:r>
      <w:r>
        <w:rPr>
          <w:rFonts w:hint="eastAsia" w:ascii="仿宋_GB2312" w:hAnsi="仿宋_GB2312" w:eastAsia="仿宋_GB2312" w:cs="仿宋_GB2312"/>
          <w:color w:val="000000"/>
          <w:sz w:val="32"/>
          <w:szCs w:val="32"/>
        </w:rPr>
        <w:t>，不计利息</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2"/>
          <w:sz w:val="32"/>
          <w:szCs w:val="32"/>
          <w:highlight w:val="none"/>
          <w:shd w:val="clear" w:color="auto" w:fill="auto"/>
          <w:lang w:val="en-US" w:eastAsia="zh-CN" w:bidi="ar-SA"/>
        </w:rPr>
        <w:t>竞得人应当在《成交确认书》签订之日起5个工作日内与出让人签订《出让合同》</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r>
        <w:rPr>
          <w:rFonts w:hint="eastAsia" w:ascii="仿宋_GB2312" w:hAnsi="仿宋_GB2312" w:eastAsia="仿宋_GB2312" w:cs="仿宋_GB2312"/>
          <w:b/>
          <w:bCs/>
          <w:sz w:val="32"/>
          <w:szCs w:val="32"/>
          <w:highlight w:val="none"/>
          <w:shd w:val="clear" w:color="auto" w:fill="auto"/>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为避免网络延迟问题，竞买人首次出价应在网上挂牌截止前10分钟出价，以防止网上挂牌交易无法及时接收到报价的情况发生。5分钟倒计时竞价期间，请不要在最后时段报价，以防网络延时造成报价提交不成功。</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（八）有下列情形之一的，本中心将暂停、中止或终止网上挂牌交易活动：</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1、网上挂牌交易系统受到网络恶意入侵的。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2、因网上挂牌交易系统遭受破坏或发生电力、网络故障等不可抗力因素，导致网上挂牌交易系统不能正常运行的。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3、网上挂牌交易委托人根据有关规定要求暂停、中止或终止网上挂牌交易活动的。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4、涉及土地或矿业权纠纷，不能及时解决的。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5、司法机关要求暂停、中止或终止网上挂牌交易活动的。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6、市自然资源管理部门或交易中心认为应当暂停、中止或终止网上挂牌交易活动的其他情形。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（九）网上挂牌成交价即为该幅地块的总地价款，竞得人除支付成交价款外，还需支付契税、印花税等有关费用。</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（十）竞得人与出让人签订《出让合同》后，应当按出让合同约定支付网上挂牌成交价款。竞得人付清全部网上挂牌成交价款后，依法申请办理土地登记，领取《不动产权证书》。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（十一）网上挂牌不成交的，应当按规定由委托方和本中心重新组织出让。</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（十二）本中心认为需要对网上挂牌出让须知、公告及相关交易文件作出修改、补充时，将通过原公告发布渠道公告，不作另行通知。</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（十三）本须知及公告涉及的时间期限，以惠州市公共资源交易中心土地与矿业网上挂牌交易系统服务器的时间为准。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（十四）竞买人在本次网上挂牌交易过程中与惠州市公共资源交易中心发生任何争议，由双方协商。协商不成的可依法提交惠州市仲裁机构仲裁解决。</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（十五）本中心对本《须知》有解释权。未尽事宜依照《招标拍卖挂牌出让国有土地使用权规范》办理。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惠州市公共资源交易中心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eastAsia="仿宋_GB2312"/>
          <w:lang w:val="en-US" w:eastAsia="zh-CN"/>
        </w:rPr>
      </w:pPr>
      <w:r>
        <w:rPr>
          <w:rFonts w:hint="eastAsia" w:ascii="仿宋_GB2312" w:hAnsi="仿宋_GB2312" w:eastAsia="仿宋_GB2312" w:cs="仿宋_GB2312"/>
          <w:kern w:val="2"/>
          <w:sz w:val="32"/>
          <w:szCs w:val="32"/>
          <w:lang w:val="en-US" w:eastAsia="zh-CN" w:bidi="ar-SA"/>
        </w:rPr>
        <w:t xml:space="preserve">                         2021年10月29</w:t>
      </w:r>
      <w:bookmarkStart w:id="0" w:name="_GoBack"/>
      <w:bookmarkEnd w:id="0"/>
      <w:r>
        <w:rPr>
          <w:rFonts w:hint="eastAsia" w:ascii="仿宋_GB2312" w:hAnsi="仿宋_GB2312" w:eastAsia="仿宋_GB2312" w:cs="仿宋_GB2312"/>
          <w:kern w:val="2"/>
          <w:sz w:val="32"/>
          <w:szCs w:val="32"/>
          <w:lang w:val="en-US" w:eastAsia="zh-CN" w:bidi="ar-SA"/>
        </w:rPr>
        <w:t>日</w:t>
      </w:r>
      <w:r>
        <w:rPr>
          <w:rFonts w:hint="eastAsia" w:ascii="仿宋_GB2312" w:hAnsi="宋体" w:eastAsia="仿宋_GB2312" w:cs="仿宋_GB2312"/>
          <w:sz w:val="25"/>
          <w:szCs w:val="25"/>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outlineLvl w:val="9"/>
      </w:pPr>
    </w:p>
    <w:sectPr>
      <w:footerReference r:id="rId3" w:type="default"/>
      <w:pgSz w:w="11906" w:h="16838"/>
      <w:pgMar w:top="1440" w:right="1485"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73EF0"/>
    <w:rsid w:val="015725A3"/>
    <w:rsid w:val="0398491D"/>
    <w:rsid w:val="055C6BEA"/>
    <w:rsid w:val="07175A66"/>
    <w:rsid w:val="08E86ED8"/>
    <w:rsid w:val="15937805"/>
    <w:rsid w:val="16462F87"/>
    <w:rsid w:val="1E247C15"/>
    <w:rsid w:val="1F973EF0"/>
    <w:rsid w:val="240D702E"/>
    <w:rsid w:val="248E76E5"/>
    <w:rsid w:val="2AAB2AC2"/>
    <w:rsid w:val="2E6361D5"/>
    <w:rsid w:val="33A6006B"/>
    <w:rsid w:val="33B40EC2"/>
    <w:rsid w:val="36C9207F"/>
    <w:rsid w:val="377D59C2"/>
    <w:rsid w:val="389E78B3"/>
    <w:rsid w:val="3AA2318F"/>
    <w:rsid w:val="3B6E17C4"/>
    <w:rsid w:val="3E910382"/>
    <w:rsid w:val="45622B90"/>
    <w:rsid w:val="45B02BB7"/>
    <w:rsid w:val="478005E7"/>
    <w:rsid w:val="49196790"/>
    <w:rsid w:val="49DD3017"/>
    <w:rsid w:val="4FDF4DC1"/>
    <w:rsid w:val="5AC8320D"/>
    <w:rsid w:val="615E04BA"/>
    <w:rsid w:val="63D72A3D"/>
    <w:rsid w:val="66DD7F49"/>
    <w:rsid w:val="69FE57C5"/>
    <w:rsid w:val="6CC001F7"/>
    <w:rsid w:val="76CC2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roid Sans" w:hAnsi="Droid Sans" w:eastAsia="仿宋_GB2312"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7AB7"/>
      <w:u w:val="none"/>
    </w:rPr>
  </w:style>
  <w:style w:type="character" w:styleId="9">
    <w:name w:val="HTML Definition"/>
    <w:basedOn w:val="6"/>
    <w:qFormat/>
    <w:uiPriority w:val="0"/>
    <w:rPr>
      <w:i/>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5">
    <w:name w:val="first-child"/>
    <w:basedOn w:val="6"/>
    <w:qFormat/>
    <w:uiPriority w:val="0"/>
  </w:style>
  <w:style w:type="character" w:customStyle="1" w:styleId="16">
    <w:name w:val="actspan2"/>
    <w:basedOn w:val="6"/>
    <w:qFormat/>
    <w:uiPriority w:val="0"/>
  </w:style>
  <w:style w:type="character" w:customStyle="1" w:styleId="17">
    <w:name w:val="layui-layer-tabnow"/>
    <w:basedOn w:val="6"/>
    <w:qFormat/>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4</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2021-08-10T02:46:00Z</dcterms:created>
  <dc:creator>杨惠丹</dc:creator>
  <cp:lastModifiedBy>杨惠丹</cp:lastModifiedBy>
  <cp:lastPrinted>2021-10-29T03:33:00Z</cp:lastPrinted>
  <dcterms:modified xsi:type="dcterms:W3CDTF">2021-10-29T07:06:03Z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