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二、网上挂牌竞买时间为</w:t>
      </w:r>
      <w:r>
        <w:rPr>
          <w:rFonts w:hint="eastAsia" w:ascii="仿宋_GB2312" w:hAnsi="仿宋_GB2312" w:eastAsia="仿宋_GB2312" w:cs="仿宋_GB2312"/>
          <w:sz w:val="32"/>
          <w:szCs w:val="32"/>
          <w:highlight w:val="none"/>
          <w:lang w:val="en-US" w:eastAsia="zh-CN"/>
        </w:rPr>
        <w:t>2021年11月22日9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2021年12月6日10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三、挂牌起始价为人民币3400万元，每次报价加价幅度为人民币100万元的整数倍。</w:t>
      </w:r>
    </w:p>
    <w:p>
      <w:pPr>
        <w:pStyle w:val="4"/>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四、中华人民共和国境内外的法人、自然人和其他组织（除法律法规另有规定外）均可申请参加竞买。申请人可以单独申请，也可以联合申请：</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 w:val="32"/>
          <w:szCs w:val="32"/>
          <w:highlight w:val="none"/>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五、该宗地竞买保证金可用人民币及外币（暂限于美元、港币）支付。</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一）缴交竞买保证金1020万元人民币，如以外币缴交竞买保证金的，须缴交美元159万元或港币1231万元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时止。网上挂牌报价时间截止时，经系统询问，有竞买人表示愿意继续竞价的，系统自动进入网上限时竞价程序，通过竞价确定竞得人</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（一）开发投资总额不少于9700万元（含地价，不含地价溢价部分）。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（二）竞得人在用地红线内开发建设必须符合城市规划要求，必须按《建设用地规划设计条件》（案卷编号：PB20210028）规划控制指标要求及有关规定进行规划设计</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（三）竞得人须</w:t>
      </w:r>
      <w:r>
        <w:rPr>
          <w:rFonts w:hint="eastAsia" w:ascii="仿宋_GB2312" w:hAnsi="仿宋_GB2312" w:eastAsia="仿宋_GB2312" w:cs="仿宋_GB2312"/>
          <w:color w:val="auto"/>
          <w:sz w:val="32"/>
          <w:szCs w:val="32"/>
          <w:highlight w:val="none"/>
          <w:lang w:val="en-US" w:eastAsia="zh-CN"/>
        </w:rPr>
        <w:t>按规划要求及相关规范承担</w:t>
      </w:r>
      <w:r>
        <w:rPr>
          <w:rFonts w:hint="eastAsia" w:ascii="仿宋_GB2312" w:hAnsi="仿宋_GB2312" w:eastAsia="仿宋_GB2312" w:cs="仿宋_GB2312"/>
          <w:color w:val="auto"/>
          <w:sz w:val="32"/>
          <w:szCs w:val="32"/>
          <w:highlight w:val="none"/>
        </w:rPr>
        <w:t>公交首末站和公园绿地</w:t>
      </w:r>
      <w:r>
        <w:rPr>
          <w:rFonts w:hint="eastAsia" w:ascii="仿宋_GB2312" w:hAnsi="仿宋_GB2312" w:eastAsia="仿宋_GB2312" w:cs="仿宋_GB2312"/>
          <w:color w:val="auto"/>
          <w:sz w:val="32"/>
          <w:szCs w:val="32"/>
          <w:highlight w:val="none"/>
          <w:lang w:val="en-US" w:eastAsia="zh-CN"/>
        </w:rPr>
        <w:t>的建设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建成后</w:t>
      </w:r>
      <w:r>
        <w:rPr>
          <w:rFonts w:hint="eastAsia" w:ascii="仿宋_GB2312" w:hAnsi="仿宋_GB2312" w:eastAsia="仿宋_GB2312" w:cs="仿宋_GB2312"/>
          <w:color w:val="auto"/>
          <w:sz w:val="32"/>
          <w:szCs w:val="32"/>
          <w:highlight w:val="none"/>
        </w:rPr>
        <w:t>无偿移交给政府相关部门行业管理部门，且上述地块应同步规划设计、同步建设、同步验收交付使用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sz w:val="32"/>
          <w:szCs w:val="32"/>
          <w:highlight w:val="none"/>
        </w:rPr>
        <w:t>惠州市江北三新南路7号</w:t>
      </w:r>
    </w:p>
    <w:p>
      <w:pPr>
        <w:spacing w:line="520" w:lineRule="exact"/>
        <w:ind w:right="64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联系人：王工</w:t>
      </w:r>
    </w:p>
    <w:p>
      <w:pPr>
        <w:spacing w:line="520" w:lineRule="exact"/>
        <w:ind w:right="64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联系电话：（0752）289631</w:t>
      </w:r>
      <w:r>
        <w:rPr>
          <w:rFonts w:hint="eastAsia" w:ascii="仿宋_GB2312" w:hAnsi="仿宋_GB2312" w:eastAsia="仿宋_GB2312" w:cs="仿宋_GB2312"/>
          <w:color w:val="auto"/>
          <w:kern w:val="2"/>
          <w:sz w:val="32"/>
          <w:szCs w:val="32"/>
          <w:highlight w:val="none"/>
          <w:lang w:val="en-US" w:eastAsia="zh-CN" w:bidi="ar-SA"/>
        </w:rPr>
        <w:t>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w:t>
      </w:r>
      <w:r>
        <w:rPr>
          <w:rFonts w:hint="eastAsia" w:ascii="仿宋_GB2312" w:hAnsi="仿宋_GB2312" w:eastAsia="仿宋_GB2312" w:cs="仿宋_GB2312"/>
          <w:sz w:val="32"/>
          <w:szCs w:val="32"/>
          <w:highlight w:val="none"/>
          <w:lang w:val="en-US" w:eastAsia="zh-CN"/>
        </w:rPr>
        <w:t>惠城区三新北路31号市民服务中心3号楼</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2021年10月29日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tbl>
      <w:tblPr>
        <w:tblStyle w:val="9"/>
        <w:tblpPr w:leftFromText="180" w:rightFromText="180" w:vertAnchor="text" w:horzAnchor="page" w:tblpXSpec="center" w:tblpY="657"/>
        <w:tblOverlap w:val="never"/>
        <w:tblW w:w="10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23"/>
        <w:gridCol w:w="1080"/>
        <w:gridCol w:w="930"/>
        <w:gridCol w:w="885"/>
        <w:gridCol w:w="1005"/>
        <w:gridCol w:w="1635"/>
        <w:gridCol w:w="150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817" w:type="dxa"/>
            <w:vMerge w:val="restart"/>
            <w:vAlign w:val="center"/>
          </w:tcPr>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挂牌地块编号</w:t>
            </w:r>
          </w:p>
        </w:tc>
        <w:tc>
          <w:tcPr>
            <w:tcW w:w="1023" w:type="dxa"/>
            <w:vMerge w:val="restart"/>
            <w:vAlign w:val="center"/>
          </w:tcPr>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土地</w:t>
            </w:r>
          </w:p>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位置</w:t>
            </w:r>
          </w:p>
        </w:tc>
        <w:tc>
          <w:tcPr>
            <w:tcW w:w="1080"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lang w:eastAsia="zh-CN"/>
              </w:rPr>
              <w:t>用地</w:t>
            </w:r>
            <w:r>
              <w:rPr>
                <w:rFonts w:hint="default" w:ascii="Times New Roman" w:hAnsi="Times New Roman" w:eastAsia="仿宋_GB2312" w:cs="Times New Roman"/>
                <w:b/>
                <w:bCs/>
                <w:szCs w:val="21"/>
                <w:highlight w:val="none"/>
              </w:rPr>
              <w:t>编号</w:t>
            </w:r>
          </w:p>
        </w:tc>
        <w:tc>
          <w:tcPr>
            <w:tcW w:w="930"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土地</w:t>
            </w:r>
          </w:p>
          <w:p>
            <w:pPr>
              <w:adjustRightInd w:val="0"/>
              <w:snapToGrid w:val="0"/>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用途</w:t>
            </w:r>
          </w:p>
        </w:tc>
        <w:tc>
          <w:tcPr>
            <w:tcW w:w="885" w:type="dxa"/>
            <w:vMerge w:val="restart"/>
            <w:vAlign w:val="center"/>
          </w:tcPr>
          <w:p>
            <w:pPr>
              <w:adjustRightInd w:val="0"/>
              <w:snapToGrid w:val="0"/>
              <w:spacing w:line="320" w:lineRule="exact"/>
              <w:jc w:val="center"/>
              <w:rPr>
                <w:rFonts w:hint="eastAsia" w:ascii="Times New Roman" w:hAnsi="Times New Roman" w:eastAsia="宋体" w:cs="Times New Roman"/>
                <w:b/>
                <w:bCs/>
                <w:szCs w:val="21"/>
                <w:highlight w:val="none"/>
                <w:lang w:val="en-US" w:eastAsia="zh-CN"/>
              </w:rPr>
            </w:pPr>
            <w:r>
              <w:rPr>
                <w:rFonts w:hint="eastAsia" w:eastAsia="仿宋_GB2312" w:cs="Times New Roman"/>
                <w:b/>
                <w:bCs/>
                <w:szCs w:val="21"/>
                <w:highlight w:val="none"/>
                <w:lang w:val="en-US" w:eastAsia="zh-CN"/>
              </w:rPr>
              <w:t>地下室宗地使用权面积（</w:t>
            </w:r>
            <w:r>
              <w:rPr>
                <w:rFonts w:hint="default" w:ascii="Times New Roman" w:hAnsi="Times New Roman" w:cs="Times New Roman"/>
                <w:b/>
                <w:bCs/>
                <w:szCs w:val="21"/>
                <w:highlight w:val="none"/>
              </w:rPr>
              <w:t>㎡</w:t>
            </w:r>
            <w:r>
              <w:rPr>
                <w:rFonts w:hint="eastAsia" w:cs="Times New Roman"/>
                <w:b/>
                <w:bCs/>
                <w:szCs w:val="21"/>
                <w:highlight w:val="none"/>
                <w:lang w:eastAsia="zh-CN"/>
              </w:rPr>
              <w:t>）</w:t>
            </w:r>
          </w:p>
        </w:tc>
        <w:tc>
          <w:tcPr>
            <w:tcW w:w="4140" w:type="dxa"/>
            <w:gridSpan w:val="3"/>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规划指标要求</w:t>
            </w:r>
          </w:p>
        </w:tc>
        <w:tc>
          <w:tcPr>
            <w:tcW w:w="1275" w:type="dxa"/>
            <w:vMerge w:val="restart"/>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highlight w:val="none"/>
              </w:rPr>
            </w:pPr>
          </w:p>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出让</w:t>
            </w:r>
          </w:p>
          <w:p>
            <w:pPr>
              <w:adjustRightInd w:val="0"/>
              <w:snapToGrid w:val="0"/>
              <w:spacing w:line="320" w:lineRule="exact"/>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szCs w:val="21"/>
                <w:highlight w:val="none"/>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18" w:hRule="atLeast"/>
          <w:jc w:val="center"/>
        </w:trPr>
        <w:tc>
          <w:tcPr>
            <w:tcW w:w="817"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1023"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1080"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930"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885"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1005" w:type="dxa"/>
            <w:vAlign w:val="center"/>
          </w:tcPr>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计算指标用地面积（</w:t>
            </w:r>
            <w:r>
              <w:rPr>
                <w:rFonts w:hint="default" w:ascii="Times New Roman" w:hAnsi="Times New Roman" w:cs="Times New Roman"/>
                <w:b/>
                <w:bCs/>
                <w:szCs w:val="21"/>
                <w:highlight w:val="none"/>
              </w:rPr>
              <w:t>㎡</w:t>
            </w:r>
            <w:r>
              <w:rPr>
                <w:rFonts w:hint="default" w:ascii="Times New Roman" w:hAnsi="Times New Roman" w:eastAsia="仿宋_GB2312" w:cs="Times New Roman"/>
                <w:b/>
                <w:bCs/>
                <w:szCs w:val="21"/>
                <w:highlight w:val="none"/>
              </w:rPr>
              <w:t>）</w:t>
            </w:r>
          </w:p>
        </w:tc>
        <w:tc>
          <w:tcPr>
            <w:tcW w:w="1635"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适建性</w:t>
            </w:r>
          </w:p>
        </w:tc>
        <w:tc>
          <w:tcPr>
            <w:tcW w:w="1500" w:type="dxa"/>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highlight w:val="none"/>
              </w:rPr>
            </w:pPr>
            <w:r>
              <w:rPr>
                <w:rFonts w:hint="eastAsia" w:eastAsia="仿宋_GB2312" w:cs="Times New Roman"/>
                <w:b/>
                <w:bCs/>
                <w:highlight w:val="none"/>
                <w:lang w:val="en-US" w:eastAsia="zh-CN"/>
              </w:rPr>
              <w:t xml:space="preserve"> </w:t>
            </w:r>
            <w:r>
              <w:rPr>
                <w:rFonts w:hint="default" w:ascii="Times New Roman" w:hAnsi="Times New Roman" w:eastAsia="仿宋_GB2312" w:cs="Times New Roman"/>
                <w:b/>
                <w:bCs/>
                <w:highlight w:val="none"/>
              </w:rPr>
              <w:t>机动车停车位（个）</w:t>
            </w:r>
          </w:p>
        </w:tc>
        <w:tc>
          <w:tcPr>
            <w:tcW w:w="1275"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9" w:hRule="atLeast"/>
          <w:jc w:val="center"/>
        </w:trPr>
        <w:tc>
          <w:tcPr>
            <w:tcW w:w="817" w:type="dxa"/>
            <w:vMerge w:val="restart"/>
            <w:tcMar>
              <w:left w:w="0" w:type="dxa"/>
              <w:right w:w="0" w:type="dxa"/>
            </w:tcMar>
            <w:vAlign w:val="center"/>
          </w:tcPr>
          <w:p>
            <w:pPr>
              <w:spacing w:line="300" w:lineRule="exact"/>
              <w:jc w:val="both"/>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GP2021-</w:t>
            </w:r>
            <w:r>
              <w:rPr>
                <w:rFonts w:hint="eastAsia" w:ascii="仿宋_GB2312" w:hAnsi="仿宋_GB2312" w:eastAsia="仿宋_GB2312" w:cs="仿宋_GB2312"/>
                <w:szCs w:val="21"/>
                <w:highlight w:val="none"/>
                <w:lang w:val="en-US" w:eastAsia="zh-CN"/>
              </w:rPr>
              <w:t>45</w:t>
            </w:r>
            <w:bookmarkStart w:id="0" w:name="_GoBack"/>
            <w:bookmarkEnd w:id="0"/>
            <w:r>
              <w:rPr>
                <w:rFonts w:hint="default" w:ascii="仿宋_GB2312" w:hAnsi="仿宋_GB2312" w:eastAsia="仿宋_GB2312" w:cs="仿宋_GB2312"/>
                <w:szCs w:val="21"/>
                <w:highlight w:val="none"/>
                <w:lang w:val="en-US" w:eastAsia="zh-CN"/>
              </w:rPr>
              <w:t xml:space="preserve">  </w:t>
            </w:r>
          </w:p>
        </w:tc>
        <w:tc>
          <w:tcPr>
            <w:tcW w:w="1023" w:type="dxa"/>
            <w:vMerge w:val="restart"/>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惠州市惠城区金山湖片区JSH-D02-09</w:t>
            </w:r>
            <w:r>
              <w:rPr>
                <w:rFonts w:hint="eastAsia" w:ascii="仿宋_GB2312" w:hAnsi="仿宋_GB2312" w:eastAsia="仿宋_GB2312" w:cs="仿宋_GB2312"/>
                <w:szCs w:val="21"/>
                <w:highlight w:val="none"/>
                <w:lang w:val="en-US" w:eastAsia="zh-CN"/>
              </w:rPr>
              <w:t>及</w:t>
            </w:r>
            <w:r>
              <w:rPr>
                <w:rFonts w:hint="default" w:ascii="仿宋_GB2312" w:hAnsi="仿宋_GB2312" w:eastAsia="仿宋_GB2312" w:cs="仿宋_GB2312"/>
                <w:szCs w:val="21"/>
                <w:highlight w:val="none"/>
                <w:lang w:val="en-US" w:eastAsia="zh-CN"/>
              </w:rPr>
              <w:t>JSH-D02-</w:t>
            </w:r>
            <w:r>
              <w:rPr>
                <w:rFonts w:hint="eastAsia" w:ascii="仿宋_GB2312" w:hAnsi="仿宋_GB2312" w:eastAsia="仿宋_GB2312" w:cs="仿宋_GB2312"/>
                <w:szCs w:val="21"/>
                <w:highlight w:val="none"/>
                <w:lang w:val="en-US" w:eastAsia="zh-CN"/>
              </w:rPr>
              <w:t>10地块</w:t>
            </w:r>
            <w:r>
              <w:rPr>
                <w:rFonts w:hint="default" w:ascii="仿宋_GB2312" w:hAnsi="仿宋_GB2312" w:eastAsia="仿宋_GB2312" w:cs="仿宋_GB2312"/>
                <w:szCs w:val="21"/>
                <w:highlight w:val="none"/>
                <w:lang w:val="en-US" w:eastAsia="zh-CN"/>
              </w:rPr>
              <w:t>（地下空间）</w:t>
            </w:r>
          </w:p>
        </w:tc>
        <w:tc>
          <w:tcPr>
            <w:tcW w:w="1080"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JSH-D02-09</w:t>
            </w:r>
          </w:p>
        </w:tc>
        <w:tc>
          <w:tcPr>
            <w:tcW w:w="930" w:type="dxa"/>
            <w:vMerge w:val="restart"/>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交通服务场站用地</w:t>
            </w:r>
          </w:p>
        </w:tc>
        <w:tc>
          <w:tcPr>
            <w:tcW w:w="885" w:type="dxa"/>
            <w:vMerge w:val="restart"/>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12593.99</w:t>
            </w:r>
          </w:p>
        </w:tc>
        <w:tc>
          <w:tcPr>
            <w:tcW w:w="100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6048</w:t>
            </w:r>
          </w:p>
        </w:tc>
        <w:tc>
          <w:tcPr>
            <w:tcW w:w="163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公交首末站、</w:t>
            </w:r>
          </w:p>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社会公共停车</w:t>
            </w:r>
          </w:p>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场及配套设施</w:t>
            </w:r>
          </w:p>
        </w:tc>
        <w:tc>
          <w:tcPr>
            <w:tcW w:w="1500" w:type="dxa"/>
            <w:vMerge w:val="restart"/>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须配建地下社会公共停车位≥630个</w:t>
            </w:r>
          </w:p>
        </w:tc>
        <w:tc>
          <w:tcPr>
            <w:tcW w:w="1275" w:type="dxa"/>
            <w:vMerge w:val="restart"/>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交通服务场站用地50</w:t>
            </w:r>
            <w:r>
              <w:rPr>
                <w:rFonts w:hint="eastAsia" w:ascii="仿宋_GB2312" w:hAnsi="仿宋_GB2312" w:eastAsia="仿宋_GB2312" w:cs="仿宋_GB2312"/>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0" w:hRule="atLeast"/>
          <w:jc w:val="center"/>
        </w:trPr>
        <w:tc>
          <w:tcPr>
            <w:tcW w:w="817" w:type="dxa"/>
            <w:vMerge w:val="continue"/>
            <w:tcMar>
              <w:left w:w="0" w:type="dxa"/>
              <w:right w:w="0" w:type="dxa"/>
            </w:tcMar>
            <w:vAlign w:val="center"/>
          </w:tcPr>
          <w:p>
            <w:pPr>
              <w:spacing w:line="300" w:lineRule="exact"/>
              <w:jc w:val="both"/>
              <w:rPr>
                <w:rFonts w:hint="default" w:ascii="仿宋_GB2312" w:hAnsi="仿宋_GB2312" w:eastAsia="仿宋_GB2312" w:cs="仿宋_GB2312"/>
                <w:szCs w:val="21"/>
                <w:highlight w:val="none"/>
                <w:lang w:val="en-US" w:eastAsia="zh-CN"/>
              </w:rPr>
            </w:pPr>
          </w:p>
        </w:tc>
        <w:tc>
          <w:tcPr>
            <w:tcW w:w="1023" w:type="dxa"/>
            <w:vMerge w:val="continue"/>
            <w:vAlign w:val="center"/>
          </w:tcPr>
          <w:p>
            <w:pPr>
              <w:spacing w:line="300" w:lineRule="exact"/>
              <w:jc w:val="center"/>
              <w:rPr>
                <w:rFonts w:hint="default" w:ascii="仿宋_GB2312" w:hAnsi="仿宋_GB2312" w:eastAsia="仿宋_GB2312" w:cs="仿宋_GB2312"/>
                <w:szCs w:val="21"/>
                <w:highlight w:val="none"/>
                <w:lang w:val="en-US" w:eastAsia="zh-CN"/>
              </w:rPr>
            </w:pPr>
          </w:p>
        </w:tc>
        <w:tc>
          <w:tcPr>
            <w:tcW w:w="1080"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JSH-D02-</w:t>
            </w:r>
            <w:r>
              <w:rPr>
                <w:rFonts w:hint="eastAsia" w:ascii="仿宋_GB2312" w:hAnsi="仿宋_GB2312" w:eastAsia="仿宋_GB2312" w:cs="仿宋_GB2312"/>
                <w:szCs w:val="21"/>
                <w:highlight w:val="none"/>
                <w:lang w:val="en-US" w:eastAsia="zh-CN"/>
              </w:rPr>
              <w:t>10</w:t>
            </w:r>
          </w:p>
        </w:tc>
        <w:tc>
          <w:tcPr>
            <w:tcW w:w="930" w:type="dxa"/>
            <w:vMerge w:val="continue"/>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p>
        </w:tc>
        <w:tc>
          <w:tcPr>
            <w:tcW w:w="885" w:type="dxa"/>
            <w:vMerge w:val="continue"/>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p>
        </w:tc>
        <w:tc>
          <w:tcPr>
            <w:tcW w:w="100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11069</w:t>
            </w:r>
          </w:p>
        </w:tc>
        <w:tc>
          <w:tcPr>
            <w:tcW w:w="163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公园、社会公共停车场及配套设施</w:t>
            </w:r>
          </w:p>
        </w:tc>
        <w:tc>
          <w:tcPr>
            <w:tcW w:w="1500" w:type="dxa"/>
            <w:vMerge w:val="continue"/>
            <w:vAlign w:val="center"/>
          </w:tcPr>
          <w:p>
            <w:pPr>
              <w:spacing w:line="300" w:lineRule="exact"/>
              <w:jc w:val="center"/>
              <w:rPr>
                <w:rFonts w:hint="default" w:ascii="仿宋_GB2312" w:hAnsi="仿宋_GB2312" w:eastAsia="仿宋_GB2312" w:cs="仿宋_GB2312"/>
                <w:szCs w:val="21"/>
                <w:highlight w:val="none"/>
                <w:lang w:val="en-US" w:eastAsia="zh-CN"/>
              </w:rPr>
            </w:pPr>
          </w:p>
        </w:tc>
        <w:tc>
          <w:tcPr>
            <w:tcW w:w="1275" w:type="dxa"/>
            <w:vMerge w:val="continue"/>
            <w:vAlign w:val="center"/>
          </w:tcPr>
          <w:p>
            <w:pPr>
              <w:spacing w:line="300" w:lineRule="exact"/>
              <w:jc w:val="center"/>
              <w:rPr>
                <w:rFonts w:hint="default" w:ascii="仿宋_GB2312" w:hAnsi="仿宋_GB2312" w:eastAsia="仿宋_GB2312" w:cs="仿宋_GB2312"/>
                <w:szCs w:val="21"/>
                <w:highlight w:val="none"/>
                <w:lang w:val="en-US" w:eastAsia="zh-CN"/>
              </w:rPr>
            </w:pPr>
          </w:p>
        </w:tc>
      </w:tr>
    </w:tbl>
    <w:p>
      <w:pPr>
        <w:tabs>
          <w:tab w:val="left" w:pos="11340"/>
        </w:tabs>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spacing w:line="360" w:lineRule="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7061"/>
    <w:rsid w:val="015539EC"/>
    <w:rsid w:val="03036C7C"/>
    <w:rsid w:val="03043D1C"/>
    <w:rsid w:val="045C3FD8"/>
    <w:rsid w:val="046368B3"/>
    <w:rsid w:val="047C6F5A"/>
    <w:rsid w:val="04A705FC"/>
    <w:rsid w:val="069C76D6"/>
    <w:rsid w:val="07386886"/>
    <w:rsid w:val="07895069"/>
    <w:rsid w:val="07BE59A8"/>
    <w:rsid w:val="082B1937"/>
    <w:rsid w:val="09B41FDD"/>
    <w:rsid w:val="09EF4B5F"/>
    <w:rsid w:val="0B406DC0"/>
    <w:rsid w:val="0B78752F"/>
    <w:rsid w:val="0B7A084A"/>
    <w:rsid w:val="0D167AC3"/>
    <w:rsid w:val="0D430223"/>
    <w:rsid w:val="0DF23899"/>
    <w:rsid w:val="0E177AE2"/>
    <w:rsid w:val="0E5C0367"/>
    <w:rsid w:val="0E7A65F6"/>
    <w:rsid w:val="101D3BC2"/>
    <w:rsid w:val="10BD4DFA"/>
    <w:rsid w:val="137618AF"/>
    <w:rsid w:val="13D50F1B"/>
    <w:rsid w:val="161D2710"/>
    <w:rsid w:val="167673A1"/>
    <w:rsid w:val="16AA6FD1"/>
    <w:rsid w:val="16D56AAC"/>
    <w:rsid w:val="172121EB"/>
    <w:rsid w:val="17AA0480"/>
    <w:rsid w:val="17D36568"/>
    <w:rsid w:val="17F82A54"/>
    <w:rsid w:val="184078AE"/>
    <w:rsid w:val="188401D1"/>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56223DC"/>
    <w:rsid w:val="25E0579E"/>
    <w:rsid w:val="27A65DB8"/>
    <w:rsid w:val="28774868"/>
    <w:rsid w:val="28C60AA0"/>
    <w:rsid w:val="2A4E22AF"/>
    <w:rsid w:val="2A6B42FA"/>
    <w:rsid w:val="2A870225"/>
    <w:rsid w:val="2B5D4967"/>
    <w:rsid w:val="2CD66967"/>
    <w:rsid w:val="2E603540"/>
    <w:rsid w:val="2F020615"/>
    <w:rsid w:val="304C7078"/>
    <w:rsid w:val="31CE6D72"/>
    <w:rsid w:val="33861F14"/>
    <w:rsid w:val="33DD4339"/>
    <w:rsid w:val="35335FA2"/>
    <w:rsid w:val="36061489"/>
    <w:rsid w:val="36885460"/>
    <w:rsid w:val="372361B7"/>
    <w:rsid w:val="37607760"/>
    <w:rsid w:val="380440B7"/>
    <w:rsid w:val="381E07C6"/>
    <w:rsid w:val="38387384"/>
    <w:rsid w:val="38BD14D1"/>
    <w:rsid w:val="3BF51A3C"/>
    <w:rsid w:val="3C13026D"/>
    <w:rsid w:val="3C8078D7"/>
    <w:rsid w:val="3DDC60B5"/>
    <w:rsid w:val="40231E47"/>
    <w:rsid w:val="40363F40"/>
    <w:rsid w:val="409256E4"/>
    <w:rsid w:val="409E7D83"/>
    <w:rsid w:val="40B33D72"/>
    <w:rsid w:val="411B39E1"/>
    <w:rsid w:val="414E681A"/>
    <w:rsid w:val="428A6E62"/>
    <w:rsid w:val="42CE6157"/>
    <w:rsid w:val="4333178A"/>
    <w:rsid w:val="43706132"/>
    <w:rsid w:val="44966F93"/>
    <w:rsid w:val="45C047BF"/>
    <w:rsid w:val="45EA0593"/>
    <w:rsid w:val="46FD730B"/>
    <w:rsid w:val="47AF3E70"/>
    <w:rsid w:val="4A1228DB"/>
    <w:rsid w:val="4A1B1ECC"/>
    <w:rsid w:val="4AE74DD0"/>
    <w:rsid w:val="4C2E14D5"/>
    <w:rsid w:val="4D1610A1"/>
    <w:rsid w:val="4DF35994"/>
    <w:rsid w:val="4EC91786"/>
    <w:rsid w:val="4F861E18"/>
    <w:rsid w:val="512A0AC6"/>
    <w:rsid w:val="538C505C"/>
    <w:rsid w:val="540106D5"/>
    <w:rsid w:val="546946EF"/>
    <w:rsid w:val="565101CA"/>
    <w:rsid w:val="567F481B"/>
    <w:rsid w:val="5759685A"/>
    <w:rsid w:val="578E459E"/>
    <w:rsid w:val="57A3234F"/>
    <w:rsid w:val="57C844D5"/>
    <w:rsid w:val="57EA41E9"/>
    <w:rsid w:val="594D206E"/>
    <w:rsid w:val="596A13D8"/>
    <w:rsid w:val="5A893EB0"/>
    <w:rsid w:val="5AF873B7"/>
    <w:rsid w:val="5B573312"/>
    <w:rsid w:val="5D241B5A"/>
    <w:rsid w:val="5D471E01"/>
    <w:rsid w:val="5E3B0440"/>
    <w:rsid w:val="606821F3"/>
    <w:rsid w:val="60AD2817"/>
    <w:rsid w:val="623F28DB"/>
    <w:rsid w:val="63AA2C72"/>
    <w:rsid w:val="64D925C4"/>
    <w:rsid w:val="64E467ED"/>
    <w:rsid w:val="65651799"/>
    <w:rsid w:val="65C33722"/>
    <w:rsid w:val="68527CA2"/>
    <w:rsid w:val="692A6240"/>
    <w:rsid w:val="6B6E278B"/>
    <w:rsid w:val="6BE509C5"/>
    <w:rsid w:val="6C72571A"/>
    <w:rsid w:val="6DB61045"/>
    <w:rsid w:val="6E0C0E77"/>
    <w:rsid w:val="6EB83079"/>
    <w:rsid w:val="6EC11C99"/>
    <w:rsid w:val="6ED476F5"/>
    <w:rsid w:val="6F3F769A"/>
    <w:rsid w:val="6F4B3B48"/>
    <w:rsid w:val="6FF0551C"/>
    <w:rsid w:val="700A52E4"/>
    <w:rsid w:val="700B25B1"/>
    <w:rsid w:val="710659AD"/>
    <w:rsid w:val="727D44B4"/>
    <w:rsid w:val="728D40FC"/>
    <w:rsid w:val="7291218D"/>
    <w:rsid w:val="736D1677"/>
    <w:rsid w:val="73BE7EBD"/>
    <w:rsid w:val="73F22758"/>
    <w:rsid w:val="748840AA"/>
    <w:rsid w:val="761352C3"/>
    <w:rsid w:val="765425FB"/>
    <w:rsid w:val="77DD303C"/>
    <w:rsid w:val="782A0826"/>
    <w:rsid w:val="786A2515"/>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2021-10-25T06:53:00Z</cp:lastPrinted>
  <dcterms:modified xsi:type="dcterms:W3CDTF">2021-10-29T07:04:26Z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