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047</w:t>
      </w:r>
      <w:r>
        <w:rPr>
          <w:rFonts w:hint="eastAsia" w:ascii="仿宋_GB2312" w:hAnsi="仿宋_GB2312" w:eastAsia="仿宋_GB2312" w:cs="仿宋_GB2312"/>
          <w:sz w:val="32"/>
          <w:szCs w:val="32"/>
          <w:highlight w:val="none"/>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、网上挂牌竞买时间为2021年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lang w:eastAsia="zh-CN"/>
        </w:rPr>
        <w:t>日9时至2021年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日10时。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三、挂牌起始价为人民币53200万元,每次报价加价幅度为人民币500万元的整数倍</w:t>
      </w:r>
      <w:r>
        <w:rPr>
          <w:rFonts w:hint="eastAsia" w:ascii="仿宋_GB2312" w:hAnsi="仿宋_GB2312" w:eastAsia="仿宋_GB2312" w:cs="仿宋_GB2312"/>
          <w:sz w:val="32"/>
          <w:szCs w:val="32"/>
          <w:highlight w:val="none"/>
        </w:rPr>
        <w:t>。</w:t>
      </w:r>
    </w:p>
    <w:p>
      <w:pPr>
        <w:spacing w:line="520" w:lineRule="exact"/>
        <w:ind w:firstLine="720" w:firstLineChars="22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val="en-US" w:eastAsia="zh-CN"/>
        </w:rPr>
        <w:t>竞买资格及要求</w:t>
      </w:r>
    </w:p>
    <w:p>
      <w:pPr>
        <w:spacing w:line="520" w:lineRule="exact"/>
        <w:ind w:firstLine="720" w:firstLineChars="22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r>
        <w:rPr>
          <w:rFonts w:hint="eastAsia" w:ascii="仿宋_GB2312" w:hAnsi="仿宋_GB2312" w:eastAsia="仿宋_GB2312" w:cs="仿宋_GB231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1、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2、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szCs w:val="32"/>
          <w:highlight w:val="none"/>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default" w:ascii="Times New Roman" w:hAnsi="Times New Roman" w:eastAsia="仿宋_GB2312" w:cs="Times New Roman"/>
          <w:kern w:val="2"/>
          <w:sz w:val="3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二</w:t>
      </w:r>
      <w:r>
        <w:rPr>
          <w:rFonts w:hint="eastAsia" w:ascii="仿宋_GB2312" w:hAnsi="仿宋_GB2312" w:eastAsia="仿宋_GB2312" w:cs="仿宋_GB2312"/>
          <w:kern w:val="2"/>
          <w:sz w:val="32"/>
          <w:szCs w:val="32"/>
          <w:highlight w:val="none"/>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成交后提交相应证明并对上述要求作出承诺</w:t>
      </w:r>
      <w:r>
        <w:rPr>
          <w:rFonts w:hint="default" w:ascii="仿宋_GB2312" w:hAnsi="仿宋_GB2312" w:eastAsia="仿宋_GB2312" w:cs="仿宋_GB2312"/>
          <w:szCs w:val="32"/>
          <w:highlight w:val="none"/>
          <w:lang w:val="en-US"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五</w:t>
      </w:r>
      <w:r>
        <w:rPr>
          <w:rFonts w:hint="eastAsia" w:ascii="仿宋_GB2312" w:hAnsi="仿宋_GB2312" w:eastAsia="仿宋_GB2312" w:cs="仿宋_GB2312"/>
          <w:szCs w:val="32"/>
          <w:highlight w:val="none"/>
        </w:rPr>
        <w:t>、该宗地竞买保证金可用人民币及外币（暂限于美元、港币）支付</w:t>
      </w:r>
      <w:r>
        <w:rPr>
          <w:rFonts w:hint="eastAsia" w:ascii="仿宋_GB2312" w:hAnsi="仿宋_GB2312" w:eastAsia="仿宋_GB2312" w:cs="仿宋_GB2312"/>
          <w:szCs w:val="32"/>
          <w:highlight w:val="none"/>
          <w:lang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、申请人应具备的其他条件：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一）缴交竞买保证金15960万元人民币或等值外币（美元2474万元、港币19251万元）</w:t>
      </w:r>
      <w:r>
        <w:rPr>
          <w:rFonts w:hint="eastAsia" w:ascii="仿宋_GB2312" w:hAnsi="仿宋_GB2312" w:eastAsia="仿宋_GB2312" w:cs="仿宋_GB2312"/>
          <w:szCs w:val="32"/>
          <w:highlight w:val="none"/>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（二）存在下列违法违规违约行为之一的企业及其控股股东，不得参与竞买上述地块：</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1、存在伪造公文骗取用地和非法倒卖土地等犯罪行为的；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2、存在非法转让土地使用权等违法行为的；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3、因企业原因造成土地闲置一年以上且至报名日止未处罚完结的；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4、开发建设企业有违背出让合同约定条件开发利用土地情形且至报名日止未处罚完结的；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5、至报名日止仍拖欠政府地价款的;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6、被列入问题楼盘开发企业黑名单的;</w:t>
      </w:r>
    </w:p>
    <w:p>
      <w:pPr>
        <w:keepNext w:val="0"/>
        <w:keepLines w:val="0"/>
        <w:pageBreakBefore w:val="0"/>
        <w:kinsoku/>
        <w:wordWrap/>
        <w:overflowPunct/>
        <w:topLinePunct w:val="0"/>
        <w:autoSpaceDE/>
        <w:autoSpaceDN/>
        <w:bidi w:val="0"/>
        <w:spacing w:line="640" w:lineRule="atLeas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7、购地资金超过“三道红线”，存在重大失信行为的</w:t>
      </w:r>
      <w:r>
        <w:rPr>
          <w:rFonts w:hint="eastAsia" w:ascii="仿宋_GB2312" w:hAnsi="仿宋_GB2312" w:eastAsia="仿宋_GB2312" w:cs="仿宋_GB2312"/>
          <w:color w:val="auto"/>
          <w:kern w:val="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存在其它被禁止竞买土地行为的</w:t>
      </w:r>
      <w:r>
        <w:rPr>
          <w:rFonts w:hint="eastAsia" w:ascii="仿宋_GB2312" w:hAnsi="仿宋_GB2312" w:eastAsia="仿宋_GB2312" w:cs="仿宋_GB231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、本次国有建设用地使用权网上挂牌竞价达到61180万元时，转为采取摇号方式确定竞得人。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、申请人应当在网上挂牌出让结束前</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惠州市公共资源交易中心土地与矿业网上挂牌交易系统并在系统上向惠州市公共资源交易中心提交竞买申请并支付保证金。网上挂牌保证金到账截止时间为</w:t>
      </w:r>
      <w:r>
        <w:rPr>
          <w:rFonts w:hint="eastAsia" w:ascii="仿宋_GB2312" w:hAnsi="仿宋_GB2312" w:eastAsia="仿宋_GB2312" w:cs="仿宋_GB2312"/>
          <w:sz w:val="32"/>
          <w:szCs w:val="32"/>
          <w:highlight w:val="none"/>
          <w:lang w:val="en-US" w:eastAsia="zh-CN"/>
        </w:rPr>
        <w:t>2021年12月8</w:t>
      </w:r>
      <w:bookmarkStart w:id="0" w:name="_GoBack"/>
      <w:bookmarkEnd w:id="0"/>
      <w:r>
        <w:rPr>
          <w:rFonts w:hint="eastAsia" w:ascii="仿宋_GB2312" w:hAnsi="仿宋_GB2312" w:eastAsia="仿宋_GB2312" w:cs="仿宋_GB2312"/>
          <w:sz w:val="32"/>
          <w:szCs w:val="32"/>
          <w:highlight w:val="none"/>
          <w:lang w:val="en-US" w:eastAsia="zh-CN"/>
        </w:rPr>
        <w:t>日上</w:t>
      </w:r>
      <w:r>
        <w:rPr>
          <w:rFonts w:hint="eastAsia" w:ascii="仿宋_GB2312" w:hAnsi="仿宋_GB2312" w:eastAsia="仿宋_GB2312" w:cs="仿宋_GB2312"/>
          <w:sz w:val="32"/>
          <w:szCs w:val="32"/>
          <w:highlight w:val="none"/>
        </w:rPr>
        <w:t>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时止</w:t>
      </w:r>
      <w:r>
        <w:rPr>
          <w:rFonts w:hint="eastAsia" w:ascii="仿宋_GB2312" w:hAns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w:t>
      </w:r>
      <w:r>
        <w:rPr>
          <w:rFonts w:hint="eastAsia" w:ascii="仿宋_GB2312" w:hAnsi="仿宋_GB2312" w:eastAsia="仿宋_GB2312" w:cs="仿宋_GB2312"/>
          <w:sz w:val="32"/>
          <w:szCs w:val="32"/>
          <w:highlight w:val="none"/>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（一）该地块竞得开发企业办理住宅预售许可前，应申请销售价格备案，所建单套毛坯商品住宅销售单价不高于 21000 元/㎡， 如实施装修销售的，装修标准原则上不得高于 3000 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（二）开发投资总额不少于86200万元（含地价,不含地价溢价部分）。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（四）竞得人在用地红线内开发建设必须符合城市规划要求，必须按《规划设计条件告知书》（案卷编号：PB20210064）规划控制指标要求及有关规定进行规划设计；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（五）该地属政府储备地，没有法律经济纠纷，具备动工开发所必须的基本条件；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（六）竞得人须按《规划设计条件告知书》（案卷编号：PB20210064）要求配建相关配套设施；</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竞得人须配建总建筑面积不低于38492㎡的安置房（配建安置房建筑面积计入该宗地计算容积率建筑面积）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竞得人须按规划要求承担JSH-B04-27-01地块的9班幼儿园、3班托儿所及配套设施用地，同步划拨给惠城区教育局，并与JSH-B04-27-02地块同步规划设计、同步建设、同步验收交付使用，如JSH-B04-27-02地块分期建设，该幼儿园应纳入首期工程；</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（九）竞得人须按规划要求承担文竹一路、翠竹三路市政道路（包括雨水管、污水管、电力电缆沟和通信管群）的建设，建成后无偿移交给政府相关部门；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（十）临规划城市道路一侧建筑红线与道路红线之间的用地须作为景观绿地型公共空间，由用地权属单位自建，但应服从城市规划建设的需要，建成后由政府统一管理，并纳入城市公共开放空间</w:t>
      </w:r>
      <w:r>
        <w:rPr>
          <w:rFonts w:hint="eastAsia" w:ascii="仿宋_GB2312" w:hAnsi="仿宋_GB2312" w:eastAsia="仿宋_GB2312" w:cs="仿宋_GB2312"/>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（十一）竞得人有下列行为之一的，取消竞得人资格，竞买保证金不予退还,并由有关部门依法处理;造成损失的，竞得人还应依法承担赔偿责任：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1、不符合竞买资格条件的；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3、竞得人以其他非法手段竞得的；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）挂牌出让价款不含应由竞得人缴纳的契税、印花税等有关费用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（一）惠州市自然资源局</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联系地址：惠州市江北三新南路7号</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联系人：张工</w:t>
      </w:r>
    </w:p>
    <w:p>
      <w:pPr>
        <w:spacing w:line="520" w:lineRule="exact"/>
        <w:ind w:right="64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联系电话：（0752）2896269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联系地址：广东省惠州市惠城区三新北路31号市民服务中心3号楼一楼108室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696969"/>
          <w:sz w:val="32"/>
          <w:szCs w:val="32"/>
          <w:highlight w:val="none"/>
        </w:rPr>
      </w:pPr>
      <w:r>
        <w:rPr>
          <w:rFonts w:hint="eastAsia" w:ascii="仿宋_GB2312" w:hAnsi="仿宋_GB2312" w:eastAsia="仿宋_GB2312" w:cs="仿宋_GB2312"/>
          <w:sz w:val="32"/>
          <w:szCs w:val="32"/>
          <w:highlight w:val="none"/>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2021年11月3日</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附表</w:t>
      </w:r>
    </w:p>
    <w:p>
      <w:pPr>
        <w:tabs>
          <w:tab w:val="left" w:pos="9720"/>
        </w:tabs>
        <w:spacing w:line="360" w:lineRule="auto"/>
        <w:jc w:val="center"/>
        <w:rPr>
          <w:rFonts w:hint="default" w:ascii="Times New Roman" w:hAnsi="Times New Roman" w:eastAsia="方正小标宋_GBK" w:cs="Times New Roman"/>
          <w:b/>
          <w:sz w:val="36"/>
          <w:szCs w:val="36"/>
          <w:highlight w:val="none"/>
        </w:rPr>
      </w:pPr>
      <w:r>
        <w:rPr>
          <w:rFonts w:hint="default" w:ascii="Times New Roman" w:hAnsi="Times New Roman" w:eastAsia="方正小标宋_GBK" w:cs="Times New Roman"/>
          <w:b/>
          <w:sz w:val="36"/>
          <w:szCs w:val="36"/>
          <w:highlight w:val="none"/>
        </w:rPr>
        <w:t>网上挂牌出让地块规划建设指标</w:t>
      </w:r>
    </w:p>
    <w:tbl>
      <w:tblPr>
        <w:tblStyle w:val="9"/>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1005"/>
        <w:gridCol w:w="772"/>
        <w:gridCol w:w="645"/>
        <w:gridCol w:w="1088"/>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608"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668"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用地</w:t>
            </w:r>
            <w:r>
              <w:rPr>
                <w:rFonts w:hint="default" w:ascii="Times New Roman" w:hAnsi="Times New Roman" w:eastAsia="仿宋_GB2312" w:cs="Times New Roman"/>
                <w:b/>
                <w:bCs/>
                <w:szCs w:val="21"/>
              </w:rPr>
              <w:t>编号</w:t>
            </w:r>
          </w:p>
        </w:tc>
        <w:tc>
          <w:tcPr>
            <w:tcW w:w="473"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7186" w:type="dxa"/>
            <w:gridSpan w:val="8"/>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2"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0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6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473"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1004"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p>
        </w:tc>
        <w:tc>
          <w:tcPr>
            <w:tcW w:w="1005" w:type="dxa"/>
            <w:vAlign w:val="center"/>
          </w:tcPr>
          <w:p>
            <w:pPr>
              <w:autoSpaceDE w:val="0"/>
              <w:autoSpaceDN w:val="0"/>
              <w:adjustRightInd w:val="0"/>
              <w:spacing w:line="240" w:lineRule="exact"/>
              <w:jc w:val="center"/>
              <w:rPr>
                <w:rFonts w:hint="default" w:ascii="Times New Roman" w:hAnsi="Times New Roman" w:cs="Times New Roman"/>
                <w:b/>
                <w:bCs/>
                <w:szCs w:val="21"/>
              </w:rPr>
            </w:pPr>
            <w:r>
              <w:rPr>
                <w:rFonts w:hint="default" w:ascii="Times New Roman" w:hAnsi="Times New Roman" w:eastAsia="仿宋_GB2312" w:cs="Times New Roman"/>
                <w:b/>
                <w:bCs/>
                <w:szCs w:val="21"/>
              </w:rPr>
              <w:t>宗地使用权面积</w:t>
            </w:r>
          </w:p>
        </w:tc>
        <w:tc>
          <w:tcPr>
            <w:tcW w:w="772"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建筑密度</w:t>
            </w:r>
          </w:p>
        </w:tc>
        <w:tc>
          <w:tcPr>
            <w:tcW w:w="645"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容积率</w:t>
            </w:r>
          </w:p>
        </w:tc>
        <w:tc>
          <w:tcPr>
            <w:tcW w:w="1088"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p>
        </w:tc>
        <w:tc>
          <w:tcPr>
            <w:tcW w:w="945" w:type="dxa"/>
            <w:vAlign w:val="center"/>
          </w:tcPr>
          <w:p>
            <w:pPr>
              <w:autoSpaceDE w:val="0"/>
              <w:autoSpaceDN w:val="0"/>
              <w:adjustRightInd w:val="0"/>
              <w:spacing w:line="240" w:lineRule="exact"/>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绿地率</w:t>
            </w:r>
          </w:p>
        </w:tc>
        <w:tc>
          <w:tcPr>
            <w:tcW w:w="986" w:type="dxa"/>
            <w:vAlign w:val="center"/>
          </w:tcPr>
          <w:p>
            <w:pPr>
              <w:autoSpaceDE w:val="0"/>
              <w:autoSpaceDN w:val="0"/>
              <w:adjustRightInd w:val="0"/>
              <w:spacing w:line="240" w:lineRule="exact"/>
              <w:jc w:val="center"/>
              <w:rPr>
                <w:rFonts w:hint="default" w:ascii="Times New Roman" w:hAnsi="Times New Roman" w:eastAsia="宋体" w:cs="Times New Roman"/>
                <w:b/>
                <w:bCs/>
                <w:szCs w:val="21"/>
                <w:lang w:eastAsia="zh-CN"/>
              </w:rPr>
            </w:pPr>
            <w:r>
              <w:rPr>
                <w:rFonts w:hint="default" w:ascii="Times New Roman" w:hAnsi="Times New Roman" w:eastAsia="仿宋_GB2312" w:cs="Times New Roman"/>
                <w:b/>
                <w:szCs w:val="21"/>
                <w:lang w:eastAsia="zh-CN"/>
              </w:rPr>
              <w:t>机动车停车位（个）</w:t>
            </w:r>
          </w:p>
        </w:tc>
        <w:tc>
          <w:tcPr>
            <w:tcW w:w="741"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适建性</w:t>
            </w:r>
          </w:p>
        </w:tc>
        <w:tc>
          <w:tcPr>
            <w:tcW w:w="677" w:type="dxa"/>
            <w:vAlign w:val="center"/>
          </w:tcPr>
          <w:p>
            <w:pPr>
              <w:autoSpaceDE w:val="0"/>
              <w:autoSpaceDN w:val="0"/>
              <w:adjustRightInd w:val="0"/>
              <w:spacing w:line="240" w:lineRule="exact"/>
              <w:jc w:val="both"/>
              <w:rPr>
                <w:rFonts w:hint="default" w:ascii="Times New Roman" w:hAnsi="Times New Roman" w:eastAsia="仿宋_GB2312" w:cs="Times New Roman"/>
                <w:b/>
                <w:bCs/>
                <w:lang w:val="en-US" w:eastAsia="zh-CN"/>
              </w:rPr>
            </w:pPr>
            <w:r>
              <w:rPr>
                <w:rFonts w:hint="eastAsia" w:eastAsia="仿宋_GB2312" w:cs="Times New Roman"/>
                <w:b/>
                <w:bCs/>
                <w:lang w:val="en-US" w:eastAsia="zh-CN"/>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GP2021</w:t>
            </w:r>
          </w:p>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-47</w:t>
            </w:r>
          </w:p>
        </w:tc>
        <w:tc>
          <w:tcPr>
            <w:tcW w:w="608"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惠州市金山新城湖山片区JSH-B04-27-02地块</w:t>
            </w:r>
          </w:p>
        </w:tc>
        <w:tc>
          <w:tcPr>
            <w:tcW w:w="668"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JSH-B04-27-02地块</w:t>
            </w:r>
          </w:p>
        </w:tc>
        <w:tc>
          <w:tcPr>
            <w:tcW w:w="473" w:type="dxa"/>
            <w:tcMar>
              <w:left w:w="0" w:type="dxa"/>
              <w:right w:w="0" w:type="dxa"/>
            </w:tcMar>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二类城镇</w:t>
            </w:r>
            <w:r>
              <w:rPr>
                <w:rFonts w:hint="default" w:ascii="仿宋_GB2312" w:hAnsi="仿宋_GB2312" w:eastAsia="仿宋_GB2312" w:cs="仿宋_GB2312"/>
                <w:szCs w:val="21"/>
                <w:highlight w:val="none"/>
                <w:lang w:val="en-US" w:eastAsia="zh-CN"/>
              </w:rPr>
              <w:t>住宅及商服用地</w:t>
            </w:r>
          </w:p>
        </w:tc>
        <w:tc>
          <w:tcPr>
            <w:tcW w:w="1004"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35477㎡</w:t>
            </w:r>
          </w:p>
        </w:tc>
        <w:tc>
          <w:tcPr>
            <w:tcW w:w="100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28517.97㎡</w:t>
            </w:r>
          </w:p>
        </w:tc>
        <w:tc>
          <w:tcPr>
            <w:tcW w:w="772"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val="en-US" w:eastAsia="zh-CN"/>
              </w:rPr>
              <w:t>22%</w:t>
            </w:r>
          </w:p>
        </w:tc>
        <w:tc>
          <w:tcPr>
            <w:tcW w:w="64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val="en-US" w:eastAsia="zh-CN"/>
              </w:rPr>
              <w:t>3.1</w:t>
            </w:r>
          </w:p>
        </w:tc>
        <w:tc>
          <w:tcPr>
            <w:tcW w:w="1088"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≤109978㎡(其中：商业服务业建筑面积≤5%；配套设施建筑面积＞585㎡）</w:t>
            </w:r>
          </w:p>
        </w:tc>
        <w:tc>
          <w:tcPr>
            <w:tcW w:w="94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lang w:val="en-US" w:eastAsia="zh-CN"/>
              </w:rPr>
              <w:t>5</w:t>
            </w:r>
            <w:r>
              <w:rPr>
                <w:rFonts w:hint="default" w:ascii="仿宋_GB2312" w:hAnsi="仿宋_GB2312" w:eastAsia="仿宋_GB2312" w:cs="仿宋_GB2312"/>
                <w:szCs w:val="21"/>
                <w:highlight w:val="none"/>
                <w:lang w:val="en-US" w:eastAsia="zh-CN"/>
              </w:rPr>
              <w:t>%</w:t>
            </w:r>
          </w:p>
        </w:tc>
        <w:tc>
          <w:tcPr>
            <w:tcW w:w="986"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每100㎡计容积率建筑面积≥1个</w:t>
            </w:r>
          </w:p>
        </w:tc>
        <w:tc>
          <w:tcPr>
            <w:tcW w:w="741"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住宅、</w:t>
            </w:r>
            <w:r>
              <w:rPr>
                <w:rFonts w:hint="default" w:ascii="仿宋_GB2312" w:hAnsi="仿宋_GB2312" w:eastAsia="仿宋_GB2312" w:cs="仿宋_GB2312"/>
                <w:szCs w:val="21"/>
                <w:highlight w:val="none"/>
                <w:lang w:val="en-US" w:eastAsia="zh-CN"/>
              </w:rPr>
              <w:t>商业服务业及配套设施</w:t>
            </w:r>
          </w:p>
        </w:tc>
        <w:tc>
          <w:tcPr>
            <w:tcW w:w="677"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城镇住宅用地70年、商服用地40年</w:t>
            </w:r>
          </w:p>
        </w:tc>
      </w:tr>
    </w:tbl>
    <w:p>
      <w:pPr>
        <w:tabs>
          <w:tab w:val="left" w:pos="11340"/>
        </w:tabs>
        <w:spacing w:line="600" w:lineRule="exact"/>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spacing w:line="360" w:lineRule="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rPr>
    </w:pPr>
  </w:p>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687A90"/>
    <w:rsid w:val="047C6F5A"/>
    <w:rsid w:val="069C76D6"/>
    <w:rsid w:val="07386886"/>
    <w:rsid w:val="07895069"/>
    <w:rsid w:val="07CF5BB3"/>
    <w:rsid w:val="07E97CE1"/>
    <w:rsid w:val="082B1937"/>
    <w:rsid w:val="09B41FDD"/>
    <w:rsid w:val="09EF4B5F"/>
    <w:rsid w:val="0B78752F"/>
    <w:rsid w:val="0B7A084A"/>
    <w:rsid w:val="0D167AC3"/>
    <w:rsid w:val="0D430223"/>
    <w:rsid w:val="0DF23899"/>
    <w:rsid w:val="0E177AE2"/>
    <w:rsid w:val="0E7A65F6"/>
    <w:rsid w:val="101D3BC2"/>
    <w:rsid w:val="10BD4DFA"/>
    <w:rsid w:val="137618AF"/>
    <w:rsid w:val="13D50F1B"/>
    <w:rsid w:val="161D2710"/>
    <w:rsid w:val="167673A1"/>
    <w:rsid w:val="16AA6FD1"/>
    <w:rsid w:val="16D56AAC"/>
    <w:rsid w:val="172121EB"/>
    <w:rsid w:val="17AA0480"/>
    <w:rsid w:val="17D36568"/>
    <w:rsid w:val="17F82A54"/>
    <w:rsid w:val="182A781E"/>
    <w:rsid w:val="188D227F"/>
    <w:rsid w:val="192F711A"/>
    <w:rsid w:val="1A0B2C56"/>
    <w:rsid w:val="1AA5305E"/>
    <w:rsid w:val="1ADB0E54"/>
    <w:rsid w:val="1B9E531A"/>
    <w:rsid w:val="1C5904D7"/>
    <w:rsid w:val="1CD57BAD"/>
    <w:rsid w:val="1D7069CD"/>
    <w:rsid w:val="1DE30B94"/>
    <w:rsid w:val="1E862B6D"/>
    <w:rsid w:val="1F7C2358"/>
    <w:rsid w:val="1FB07F91"/>
    <w:rsid w:val="20ED2229"/>
    <w:rsid w:val="210A61AB"/>
    <w:rsid w:val="217817B2"/>
    <w:rsid w:val="22890C8D"/>
    <w:rsid w:val="23A027B1"/>
    <w:rsid w:val="24E51F89"/>
    <w:rsid w:val="25251515"/>
    <w:rsid w:val="27A65DB8"/>
    <w:rsid w:val="28774868"/>
    <w:rsid w:val="28C60AA0"/>
    <w:rsid w:val="2A6B42FA"/>
    <w:rsid w:val="2A870225"/>
    <w:rsid w:val="2AAC048C"/>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3FF04DBA"/>
    <w:rsid w:val="40231E47"/>
    <w:rsid w:val="40363F40"/>
    <w:rsid w:val="409256E4"/>
    <w:rsid w:val="409E7D83"/>
    <w:rsid w:val="40B33D72"/>
    <w:rsid w:val="411B39E1"/>
    <w:rsid w:val="414E681A"/>
    <w:rsid w:val="42CE6157"/>
    <w:rsid w:val="4333178A"/>
    <w:rsid w:val="43706132"/>
    <w:rsid w:val="44966F93"/>
    <w:rsid w:val="45C047BF"/>
    <w:rsid w:val="47AF3E70"/>
    <w:rsid w:val="495B6193"/>
    <w:rsid w:val="4A1228DB"/>
    <w:rsid w:val="4A1B1ECC"/>
    <w:rsid w:val="4AE74DD0"/>
    <w:rsid w:val="4C2E14D5"/>
    <w:rsid w:val="4C956C10"/>
    <w:rsid w:val="4D1610A1"/>
    <w:rsid w:val="4DF35994"/>
    <w:rsid w:val="4EC91786"/>
    <w:rsid w:val="4F861E18"/>
    <w:rsid w:val="512A0AC6"/>
    <w:rsid w:val="538C505C"/>
    <w:rsid w:val="540106D5"/>
    <w:rsid w:val="546946EF"/>
    <w:rsid w:val="565101CA"/>
    <w:rsid w:val="567F481B"/>
    <w:rsid w:val="5787561C"/>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3CE4A87"/>
    <w:rsid w:val="64D925C4"/>
    <w:rsid w:val="64E467ED"/>
    <w:rsid w:val="65651799"/>
    <w:rsid w:val="669A56E0"/>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61352C3"/>
    <w:rsid w:val="765425FB"/>
    <w:rsid w:val="7774343F"/>
    <w:rsid w:val="77DD303C"/>
    <w:rsid w:val="782A0826"/>
    <w:rsid w:val="787C1591"/>
    <w:rsid w:val="79E82C45"/>
    <w:rsid w:val="7AD36021"/>
    <w:rsid w:val="7B832F79"/>
    <w:rsid w:val="7D060077"/>
    <w:rsid w:val="7E59234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spacing w:line="360" w:lineRule="auto"/>
      <w:ind w:firstLine="420"/>
    </w:pPr>
    <w:rPr>
      <w:sz w:val="28"/>
      <w:szCs w:val="20"/>
    </w:r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2021-10-29T03:06:00Z</cp:lastPrinted>
  <dcterms:modified xsi:type="dcterms:W3CDTF">2021-11-03T09:54:43Z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