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惠公易土市直[2021]037号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（一）挂牌地块编号：GP2021-</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（二）地块位置：惠州市惠城区河南岸片区HNA20-3-1地块（地下空间）;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编号：HNA20-3-1;</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w:t>
      </w:r>
      <w:r>
        <w:rPr>
          <w:rFonts w:hint="default" w:ascii="Times New Roman" w:hAnsi="Times New Roman" w:eastAsia="仿宋_GB2312" w:cs="Times New Roman"/>
          <w:kern w:val="2"/>
          <w:sz w:val="32"/>
          <w:szCs w:val="32"/>
          <w:lang w:bidi="ar-SA"/>
        </w:rPr>
        <w:t>平面界址点以《建设用地红线图》（</w:t>
      </w:r>
      <w:r>
        <w:rPr>
          <w:rFonts w:hint="eastAsia" w:ascii="Times New Roman" w:hAnsi="Times New Roman" w:eastAsia="仿宋_GB2312" w:cs="Times New Roman"/>
          <w:kern w:val="2"/>
          <w:sz w:val="32"/>
          <w:szCs w:val="32"/>
          <w:lang w:eastAsia="zh-CN" w:bidi="ar-SA"/>
        </w:rPr>
        <w:t>案宗</w:t>
      </w:r>
      <w:r>
        <w:rPr>
          <w:rFonts w:hint="default" w:ascii="Times New Roman" w:hAnsi="Times New Roman" w:eastAsia="仿宋_GB2312" w:cs="Times New Roman"/>
          <w:kern w:val="2"/>
          <w:sz w:val="32"/>
          <w:szCs w:val="32"/>
          <w:lang w:bidi="ar-SA"/>
        </w:rPr>
        <w:t>编号：YD2021003</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bidi="ar-SA"/>
        </w:rPr>
        <w:t>)为准，宗地竖向界限以《建设用地规划设计条件（案卷编号：PB202100</w:t>
      </w:r>
      <w:r>
        <w:rPr>
          <w:rFonts w:hint="eastAsia" w:ascii="Times New Roman" w:hAnsi="Times New Roman" w:eastAsia="仿宋_GB2312" w:cs="Times New Roman"/>
          <w:kern w:val="2"/>
          <w:sz w:val="32"/>
          <w:szCs w:val="32"/>
          <w:lang w:val="en-US" w:eastAsia="zh-CN" w:bidi="ar-SA"/>
        </w:rPr>
        <w:t>49</w:t>
      </w:r>
      <w:r>
        <w:rPr>
          <w:rFonts w:hint="default" w:ascii="Times New Roman" w:hAnsi="Times New Roman" w:eastAsia="仿宋_GB2312" w:cs="Times New Roman"/>
          <w:kern w:val="2"/>
          <w:sz w:val="32"/>
          <w:szCs w:val="32"/>
          <w:lang w:bidi="ar-SA"/>
        </w:rPr>
        <w:t>）》规定为准</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val="en-US" w:eastAsia="zh-CN"/>
        </w:rPr>
        <w:t>地下室</w:t>
      </w:r>
      <w:r>
        <w:rPr>
          <w:rFonts w:hint="eastAsia" w:ascii="仿宋_GB2312" w:hAnsi="仿宋_GB2312" w:eastAsia="仿宋_GB2312" w:cs="仿宋_GB2312"/>
          <w:sz w:val="32"/>
          <w:szCs w:val="32"/>
          <w:highlight w:val="none"/>
        </w:rPr>
        <w:t>宗地使用权面积为：13589.23平方米；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（六）计算指标用地面积为：19345平方米；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（七）计容积率建筑面积为：≤1548平方米；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（八）容积率为：≤0.08；</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（九）建筑密度为：</w:t>
      </w:r>
      <w:r>
        <w:rPr>
          <w:rFonts w:hint="default"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（十）土地用途为：交通服务场站用地；</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）土地使用权出让年期为：交通服务场站用地50年；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地面运动场，地下二层自走式停车库及配套设施</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机动车停车位</w:t>
      </w:r>
      <w:r>
        <w:rPr>
          <w:rFonts w:hint="eastAsia" w:ascii="仿宋_GB2312" w:hAnsi="仿宋_GB2312" w:eastAsia="仿宋_GB2312" w:cs="仿宋_GB2312"/>
          <w:sz w:val="32"/>
          <w:szCs w:val="32"/>
          <w:lang w:eastAsia="zh-CN"/>
        </w:rPr>
        <w:t>：地下公共停车位≥750个</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动工及竣工时间：该地块的动工时间为地块交付之日起半年内，竣工时间为动工之日起三年内（因不可抗拒因素除外）；</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color w:val="auto"/>
          <w:sz w:val="32"/>
          <w:szCs w:val="32"/>
        </w:rPr>
        <w:t>10800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土地成交价款须以人民币支付，竞得人须在签订《出让合同》之日起一个月内缴清土地成交价款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auto"/>
          <w:sz w:val="32"/>
          <w:szCs w:val="32"/>
        </w:rPr>
        <w:t>竞得人在用地红线内开发建设必须符合城市规划要求，必须按《建设用地规划设计条件》（案卷编号：PB20210049）规划控制指标要求及有关规定进行规划设计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auto"/>
          <w:sz w:val="32"/>
          <w:szCs w:val="32"/>
        </w:rPr>
        <w:t>该地属政府储备地，没有法律经济纠纷，具备动工开发所必须的基本条件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color w:val="auto"/>
          <w:sz w:val="32"/>
          <w:szCs w:val="32"/>
        </w:rPr>
        <w:t>竞得人须负责建设运动场（包括室外跑道、足球场），并无偿移交给政府相关部门</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lang w:val="en-US" w:eastAsia="zh-CN" w:bidi="ar-SA"/>
        </w:rPr>
        <w:t>。申请人还应具备下列条件：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990万元，如以外币缴交竞买保证金的，须缴交美元154万元、港币1194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7.存在其它被禁止竞买土地行为的</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kern w:val="2"/>
          <w:sz w:val="32"/>
          <w:szCs w:val="32"/>
          <w:u w:val="single"/>
          <w:lang w:val="en-US" w:eastAsia="zh-CN" w:bidi="ar-SA"/>
        </w:rPr>
        <w:t>叁仟叁佰万元整</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3300</w:t>
      </w:r>
      <w:r>
        <w:rPr>
          <w:rFonts w:hint="eastAsia" w:ascii="仿宋_GB2312" w:hAnsi="仿宋_GB2312" w:eastAsia="仿宋_GB2312" w:cs="仿宋_GB2312"/>
          <w:kern w:val="2"/>
          <w:sz w:val="32"/>
          <w:szCs w:val="32"/>
          <w:lang w:val="en-US" w:eastAsia="zh-CN" w:bidi="ar-SA"/>
        </w:rPr>
        <w:t>万元）,增价幅度为人民币</w:t>
      </w:r>
      <w:r>
        <w:rPr>
          <w:rFonts w:hint="eastAsia" w:ascii="仿宋_GB2312" w:hAnsi="仿宋_GB2312" w:eastAsia="仿宋_GB2312" w:cs="仿宋_GB2312"/>
          <w:kern w:val="2"/>
          <w:sz w:val="32"/>
          <w:szCs w:val="32"/>
          <w:u w:val="single"/>
          <w:lang w:val="en-US" w:eastAsia="zh-CN" w:bidi="ar-SA"/>
        </w:rPr>
        <w:t>伍拾万元</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50</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（一）网上挂牌起始时间：2021年11月3日9时。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（二）网上挂牌截止时间：2021年11月17日10时。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（三）网上挂牌交纳保证金截止时间：2021年11月17日9时。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t>《建设用地规划设计条件》（案卷编号：PB20210049）</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（二）本宗地竞买保证金到账截止时间为2021年11月17 日9时整，竞买保证金为人民币</w:t>
      </w:r>
      <w:r>
        <w:rPr>
          <w:rFonts w:hint="eastAsia" w:ascii="仿宋_GB2312" w:hAnsi="仿宋_GB2312" w:eastAsia="仿宋_GB2312" w:cs="仿宋_GB2312"/>
          <w:kern w:val="2"/>
          <w:sz w:val="32"/>
          <w:szCs w:val="32"/>
          <w:u w:val="single"/>
          <w:lang w:val="en-US" w:eastAsia="zh-CN" w:bidi="ar-SA"/>
        </w:rPr>
        <w:t>玖佰玖拾万元整</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u w:val="single"/>
          <w:lang w:val="en-US" w:eastAsia="zh-CN" w:bidi="ar-SA"/>
        </w:rPr>
        <w:t>990</w:t>
      </w:r>
      <w:r>
        <w:rPr>
          <w:rFonts w:hint="eastAsia" w:ascii="仿宋_GB2312" w:hAnsi="仿宋_GB2312" w:eastAsia="仿宋_GB2312" w:cs="仿宋_GB2312"/>
          <w:kern w:val="2"/>
          <w:sz w:val="32"/>
          <w:szCs w:val="32"/>
          <w:lang w:val="en-US" w:eastAsia="zh-CN" w:bidi="ar-SA"/>
        </w:rPr>
        <w:t>万元）；如以外币缴交竞买保证金的，须缴交美元</w:t>
      </w:r>
      <w:r>
        <w:rPr>
          <w:rFonts w:hint="eastAsia" w:ascii="仿宋_GB2312" w:hAnsi="仿宋_GB2312" w:eastAsia="仿宋_GB2312" w:cs="仿宋_GB2312"/>
          <w:kern w:val="2"/>
          <w:sz w:val="32"/>
          <w:szCs w:val="32"/>
          <w:u w:val="single"/>
          <w:lang w:val="en-US" w:eastAsia="zh-CN" w:bidi="ar-SA"/>
        </w:rPr>
        <w:t>壹佰伍拾肆万元整</w:t>
      </w:r>
      <w:r>
        <w:rPr>
          <w:rFonts w:hint="eastAsia" w:ascii="仿宋_GB2312" w:hAnsi="仿宋_GB2312" w:eastAsia="仿宋_GB2312" w:cs="仿宋_GB2312"/>
          <w:kern w:val="2"/>
          <w:sz w:val="32"/>
          <w:szCs w:val="32"/>
          <w:lang w:val="en-US" w:eastAsia="zh-CN" w:bidi="ar-SA"/>
        </w:rPr>
        <w:t>(USD</w:t>
      </w:r>
      <w:r>
        <w:rPr>
          <w:rFonts w:hint="eastAsia" w:ascii="仿宋_GB2312" w:hAnsi="仿宋_GB2312" w:eastAsia="仿宋_GB2312" w:cs="仿宋_GB2312"/>
          <w:kern w:val="2"/>
          <w:sz w:val="32"/>
          <w:szCs w:val="32"/>
          <w:u w:val="single"/>
          <w:lang w:val="en-US" w:eastAsia="zh-CN" w:bidi="ar-SA"/>
        </w:rPr>
        <w:t>154</w:t>
      </w:r>
      <w:r>
        <w:rPr>
          <w:rFonts w:hint="eastAsia"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u w:val="single"/>
          <w:lang w:val="en-US" w:eastAsia="zh-CN" w:bidi="ar-SA"/>
        </w:rPr>
        <w:t>壹仟壹佰玖拾肆万元整</w:t>
      </w:r>
      <w:r>
        <w:rPr>
          <w:rFonts w:hint="eastAsia" w:ascii="仿宋_GB2312" w:hAnsi="仿宋_GB2312" w:eastAsia="仿宋_GB2312" w:cs="仿宋_GB2312"/>
          <w:kern w:val="2"/>
          <w:sz w:val="32"/>
          <w:szCs w:val="32"/>
          <w:lang w:val="en-US" w:eastAsia="zh-CN" w:bidi="ar-SA"/>
        </w:rPr>
        <w:t>(HKD</w:t>
      </w:r>
      <w:r>
        <w:rPr>
          <w:rFonts w:hint="eastAsia" w:ascii="仿宋_GB2312" w:hAnsi="仿宋_GB2312" w:eastAsia="仿宋_GB2312" w:cs="仿宋_GB2312"/>
          <w:kern w:val="2"/>
          <w:sz w:val="32"/>
          <w:szCs w:val="32"/>
          <w:u w:val="single"/>
          <w:lang w:val="en-US" w:eastAsia="zh-CN" w:bidi="ar-SA"/>
        </w:rPr>
        <w:t>1194</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10、中国光大银行股份有限公司惠州分行。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11、中信银行股份有限公司惠州分行。(备注:中信银行股份有限公司惠州分行本行转账须到银行柜面办理)。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有意竞买者可登陆惠州市公共资源交易中心土地与矿业网上挂牌交易系统网站(https://www.hzgtjy.com/)查询。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rPr>
        <w:t>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rPr>
        <w:t>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w:t>
      </w:r>
      <w:bookmarkStart w:id="0" w:name="_GoBack"/>
      <w:bookmarkEnd w:id="0"/>
      <w:r>
        <w:rPr>
          <w:rFonts w:hint="eastAsia" w:ascii="仿宋_GB2312" w:hAnsi="仿宋_GB2312" w:eastAsia="仿宋_GB2312" w:cs="仿宋_GB2312"/>
          <w:kern w:val="2"/>
          <w:sz w:val="32"/>
          <w:szCs w:val="32"/>
          <w:lang w:val="en-US" w:eastAsia="zh-CN" w:bidi="ar-SA"/>
        </w:rPr>
        <w:t>、惠州市公共资源交易中心网和本中心电子显示屏公布本次国有土地使用权网上挂牌出让结果。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（五）确定竞得人后，竞得人持《竞价结果通知书》以及参加本宗地网上挂牌交易的所须资料到惠州市公共资源交易中心土地矿业交易部申办相关成交确认手续。</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《竞价结果通知书》对挂牌人和竞得人具有法律效力，挂牌人改变网上挂牌结果的，或者竞得人放弃竞得宗地的，应当承担相应法律责任。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highlight w:val="none"/>
          <w:shd w:val="clear" w:color="auto" w:fill="auto"/>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2021年10月13日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15725A3"/>
    <w:rsid w:val="0398491D"/>
    <w:rsid w:val="07175A66"/>
    <w:rsid w:val="08E86ED8"/>
    <w:rsid w:val="15937805"/>
    <w:rsid w:val="16462F87"/>
    <w:rsid w:val="1E247C15"/>
    <w:rsid w:val="1F973EF0"/>
    <w:rsid w:val="33A6006B"/>
    <w:rsid w:val="33B40EC2"/>
    <w:rsid w:val="36C9207F"/>
    <w:rsid w:val="377D59C2"/>
    <w:rsid w:val="3E910382"/>
    <w:rsid w:val="45622B90"/>
    <w:rsid w:val="45B02BB7"/>
    <w:rsid w:val="478005E7"/>
    <w:rsid w:val="49DD3017"/>
    <w:rsid w:val="4FDF4DC1"/>
    <w:rsid w:val="69FE57C5"/>
    <w:rsid w:val="6CC0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杨惠丹</cp:lastModifiedBy>
  <cp:lastPrinted>2021-10-13T07:24:00Z</cp:lastPrinted>
  <dcterms:modified xsi:type="dcterms:W3CDTF">2021-10-13T08:43:57Z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