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037</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hAnsi="仿宋_GB2312" w:eastAsia="仿宋_GB2312" w:cs="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hAnsi="仿宋_GB2312" w:eastAsia="仿宋_GB2312" w:cs="仿宋_GB2312"/>
          <w:sz w:val="32"/>
          <w:szCs w:val="32"/>
          <w:highlight w:val="none"/>
          <w:lang w:val="en-US" w:eastAsia="zh-CN"/>
        </w:rPr>
        <w:t>2021年11月3日9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2021年11月17日10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三、挂牌起始价为人民币3300万元，每次报价加价幅度为人民币50万元的整数倍。</w:t>
      </w:r>
    </w:p>
    <w:p>
      <w:pPr>
        <w:pStyle w:val="3"/>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val="en-US" w:eastAsia="zh-CN"/>
        </w:rPr>
      </w:pPr>
      <w:r>
        <w:rPr>
          <w:rFonts w:hint="eastAsia" w:ascii="Times New Roman" w:hAnsi="Times New Roman" w:eastAsia="仿宋_GB2312" w:cs="Times New Roman"/>
          <w:kern w:val="2"/>
          <w:sz w:val="32"/>
          <w:szCs w:val="32"/>
          <w:lang w:val="en-US" w:eastAsia="zh-CN" w:bidi="ar-SA"/>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六</w:t>
      </w:r>
      <w:r>
        <w:rPr>
          <w:rFonts w:hint="eastAsia" w:ascii="仿宋_GB2312" w:hAnsi="仿宋_GB2312" w:eastAsia="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一）缴交竞买保证金990万元人民币，如以外币缴交竞买保证金的，须缴交美元154万元或港币1194万元</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、本次国有建设用地使用权网上挂牌出让，按照价高者得的原则确定竞得人。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eastAsia" w:ascii="仿宋_GB2312" w:hAnsi="仿宋_GB2312" w:eastAsia="仿宋_GB2312" w:cs="仿宋_GB2312"/>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（一）开发投资总额不少于10800万元（含地价，不含地价溢价部分）。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（二）竞得人在用地红线内开发建设必须符合城市规划要求，必须按《建设用地规划设计条件》（案卷编号：PB20210049）规划控制指标要求及有关规定进行规划设计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（三）竞得人须负责建设运动场（包括室外跑道、足球场），并无偿移交给政府相关部门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sz w:val="32"/>
          <w:szCs w:val="32"/>
        </w:rPr>
        <w:t>惠州市江北三新南路7号</w:t>
      </w:r>
    </w:p>
    <w:p>
      <w:pPr>
        <w:spacing w:line="520" w:lineRule="exact"/>
        <w:ind w:right="6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lang w:val="en-US" w:eastAsia="zh-CN"/>
        </w:rPr>
        <w:t>黄工</w:t>
      </w:r>
    </w:p>
    <w:p>
      <w:pPr>
        <w:spacing w:line="520" w:lineRule="exact"/>
        <w:ind w:right="64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color w:val="auto"/>
          <w:kern w:val="2"/>
          <w:sz w:val="32"/>
          <w:szCs w:val="32"/>
          <w:highlight w:val="none"/>
          <w:lang w:val="en-US" w:eastAsia="zh-CN" w:bidi="ar-SA"/>
        </w:rPr>
        <w:t>（0752）2896313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hint="eastAsia" w:ascii="仿宋_GB2312" w:hAnsi="仿宋_GB2312" w:eastAsia="仿宋_GB2312" w:cs="仿宋_GB2312"/>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2021年10月13日</w:t>
      </w: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9"/>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539"/>
        <w:gridCol w:w="388"/>
        <w:gridCol w:w="482"/>
        <w:gridCol w:w="654"/>
        <w:gridCol w:w="575"/>
        <w:gridCol w:w="781"/>
        <w:gridCol w:w="939"/>
        <w:gridCol w:w="809"/>
        <w:gridCol w:w="615"/>
        <w:gridCol w:w="666"/>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16"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539"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38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eastAsia" w:ascii="Times New Roman" w:hAnsi="Times New Roman" w:eastAsia="仿宋_GB2312" w:cs="Times New Roman"/>
                <w:b/>
                <w:bCs/>
                <w:szCs w:val="21"/>
                <w:lang w:eastAsia="zh-CN"/>
              </w:rPr>
              <w:t>用地</w:t>
            </w:r>
            <w:r>
              <w:rPr>
                <w:rFonts w:hint="default" w:ascii="Times New Roman" w:hAnsi="Times New Roman" w:eastAsia="仿宋_GB2312" w:cs="Times New Roman"/>
                <w:b/>
                <w:bCs/>
                <w:szCs w:val="21"/>
              </w:rPr>
              <w:t>编号</w:t>
            </w:r>
          </w:p>
        </w:tc>
        <w:tc>
          <w:tcPr>
            <w:tcW w:w="482"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654" w:type="dxa"/>
            <w:vMerge w:val="restart"/>
            <w:vAlign w:val="center"/>
          </w:tcPr>
          <w:p>
            <w:pPr>
              <w:adjustRightInd w:val="0"/>
              <w:snapToGrid w:val="0"/>
              <w:spacing w:line="320" w:lineRule="exact"/>
              <w:jc w:val="center"/>
              <w:rPr>
                <w:rFonts w:hint="eastAsia" w:ascii="Times New Roman" w:hAnsi="Times New Roman" w:eastAsia="宋体" w:cs="Times New Roman"/>
                <w:b/>
                <w:bCs/>
                <w:szCs w:val="21"/>
                <w:lang w:val="en-US" w:eastAsia="zh-CN"/>
              </w:rPr>
            </w:pPr>
            <w:r>
              <w:rPr>
                <w:rFonts w:hint="eastAsia" w:eastAsia="仿宋_GB2312" w:cs="Times New Roman"/>
                <w:b/>
                <w:bCs/>
                <w:szCs w:val="21"/>
                <w:lang w:val="en-US" w:eastAsia="zh-CN"/>
              </w:rPr>
              <w:t>地下室宗地使用权面积（</w:t>
            </w:r>
            <w:r>
              <w:rPr>
                <w:rFonts w:hint="default" w:ascii="Times New Roman" w:hAnsi="Times New Roman" w:cs="Times New Roman"/>
                <w:b/>
                <w:bCs/>
                <w:szCs w:val="21"/>
              </w:rPr>
              <w:t>㎡</w:t>
            </w:r>
            <w:r>
              <w:rPr>
                <w:rFonts w:hint="eastAsia" w:cs="Times New Roman"/>
                <w:b/>
                <w:bCs/>
                <w:szCs w:val="21"/>
                <w:lang w:eastAsia="zh-CN"/>
              </w:rPr>
              <w:t>）</w:t>
            </w:r>
          </w:p>
        </w:tc>
        <w:tc>
          <w:tcPr>
            <w:tcW w:w="4385" w:type="dxa"/>
            <w:gridSpan w:val="6"/>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887" w:type="dxa"/>
            <w:tcBorders>
              <w:bottom w:val="nil"/>
            </w:tcBorders>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916"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39"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38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8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54"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75" w:type="dxa"/>
            <w:vAlign w:val="center"/>
          </w:tcPr>
          <w:p>
            <w:pPr>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rPr>
              <w:t>建筑密度（%）</w:t>
            </w:r>
          </w:p>
        </w:tc>
        <w:tc>
          <w:tcPr>
            <w:tcW w:w="781"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r>
              <w:rPr>
                <w:rFonts w:hint="default" w:ascii="Times New Roman" w:hAnsi="Times New Roman" w:cs="Times New Roman"/>
                <w:b/>
                <w:bCs/>
                <w:szCs w:val="21"/>
              </w:rPr>
              <w:t>㎡</w:t>
            </w:r>
            <w:r>
              <w:rPr>
                <w:rFonts w:hint="default" w:ascii="Times New Roman" w:hAnsi="Times New Roman" w:eastAsia="仿宋_GB2312" w:cs="Times New Roman"/>
                <w:b/>
                <w:bCs/>
                <w:szCs w:val="21"/>
              </w:rPr>
              <w:t>）</w:t>
            </w:r>
          </w:p>
        </w:tc>
        <w:tc>
          <w:tcPr>
            <w:tcW w:w="939"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容积率</w:t>
            </w:r>
          </w:p>
        </w:tc>
        <w:tc>
          <w:tcPr>
            <w:tcW w:w="809"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r>
              <w:rPr>
                <w:rFonts w:hint="default" w:ascii="Times New Roman" w:hAnsi="Times New Roman" w:cs="Times New Roman"/>
                <w:b/>
                <w:bCs/>
                <w:szCs w:val="21"/>
              </w:rPr>
              <w:t>㎡</w:t>
            </w:r>
            <w:r>
              <w:rPr>
                <w:rFonts w:hint="default" w:ascii="Times New Roman" w:hAnsi="Times New Roman" w:eastAsia="仿宋_GB2312" w:cs="Times New Roman"/>
                <w:b/>
                <w:bCs/>
                <w:szCs w:val="21"/>
              </w:rPr>
              <w:t>）</w:t>
            </w:r>
          </w:p>
        </w:tc>
        <w:tc>
          <w:tcPr>
            <w:tcW w:w="615"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适建性</w:t>
            </w:r>
          </w:p>
        </w:tc>
        <w:tc>
          <w:tcPr>
            <w:tcW w:w="666" w:type="dxa"/>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rPr>
            </w:pPr>
            <w:r>
              <w:rPr>
                <w:rFonts w:hint="eastAsia" w:eastAsia="仿宋_GB2312" w:cs="Times New Roman"/>
                <w:b/>
                <w:bCs/>
                <w:lang w:val="en-US" w:eastAsia="zh-CN"/>
              </w:rPr>
              <w:t xml:space="preserve"> </w:t>
            </w:r>
            <w:r>
              <w:rPr>
                <w:rFonts w:hint="default" w:ascii="Times New Roman" w:hAnsi="Times New Roman" w:eastAsia="仿宋_GB2312" w:cs="Times New Roman"/>
                <w:b/>
                <w:bCs/>
              </w:rPr>
              <w:t>机动车停车位（个）</w:t>
            </w:r>
          </w:p>
        </w:tc>
        <w:tc>
          <w:tcPr>
            <w:tcW w:w="887" w:type="dxa"/>
            <w:tcBorders>
              <w:top w:val="nil"/>
            </w:tcBorders>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出让</w:t>
            </w:r>
          </w:p>
          <w:p>
            <w:pPr>
              <w:adjustRightInd w:val="0"/>
              <w:snapToGrid w:val="0"/>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0" w:hRule="atLeast"/>
        </w:trPr>
        <w:tc>
          <w:tcPr>
            <w:tcW w:w="916" w:type="dxa"/>
            <w:vMerge w:val="restart"/>
            <w:tcMar>
              <w:left w:w="0" w:type="dxa"/>
              <w:right w:w="0" w:type="dxa"/>
            </w:tcMar>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GP2021-37  </w:t>
            </w:r>
          </w:p>
        </w:tc>
        <w:tc>
          <w:tcPr>
            <w:tcW w:w="539"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bidi="ar-SA"/>
              </w:rPr>
              <w:t>惠州市惠城区河南岸片区HNA20-3-1地块（地下空间）</w:t>
            </w:r>
          </w:p>
        </w:tc>
        <w:tc>
          <w:tcPr>
            <w:tcW w:w="388"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bidi="ar-SA"/>
              </w:rPr>
              <w:t>HNA20-3-1</w:t>
            </w:r>
          </w:p>
        </w:tc>
        <w:tc>
          <w:tcPr>
            <w:tcW w:w="482" w:type="dxa"/>
            <w:vMerge w:val="restart"/>
            <w:tcMar>
              <w:left w:w="0" w:type="dxa"/>
              <w:right w:w="0"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交通服务场站用地</w:t>
            </w:r>
          </w:p>
        </w:tc>
        <w:tc>
          <w:tcPr>
            <w:tcW w:w="654" w:type="dxa"/>
            <w:vMerge w:val="restart"/>
            <w:tcMar>
              <w:left w:w="0" w:type="dxa"/>
              <w:right w:w="0"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13589.23</w:t>
            </w:r>
          </w:p>
        </w:tc>
        <w:tc>
          <w:tcPr>
            <w:tcW w:w="575"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781" w:type="dxa"/>
            <w:vMerge w:val="restart"/>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Cs w:val="0"/>
                <w:sz w:val="21"/>
                <w:szCs w:val="21"/>
                <w:lang w:val="en-US" w:eastAsia="zh-CN" w:bidi="ar-SA"/>
              </w:rPr>
              <w:t>19345</w:t>
            </w:r>
          </w:p>
        </w:tc>
        <w:tc>
          <w:tcPr>
            <w:tcW w:w="939"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color w:val="auto"/>
                <w:sz w:val="21"/>
                <w:szCs w:val="21"/>
                <w:highlight w:val="none"/>
                <w:lang w:bidi="ar-SA"/>
              </w:rPr>
              <w:t>≤</w:t>
            </w:r>
            <w:r>
              <w:rPr>
                <w:rFonts w:hint="eastAsia" w:ascii="仿宋_GB2312" w:hAnsi="仿宋_GB2312" w:eastAsia="仿宋_GB2312" w:cs="仿宋_GB2312"/>
                <w:sz w:val="21"/>
                <w:szCs w:val="21"/>
                <w:lang w:val="en-US" w:eastAsia="zh-CN" w:bidi="ar-SA"/>
              </w:rPr>
              <w:t>0.08</w:t>
            </w:r>
          </w:p>
        </w:tc>
        <w:tc>
          <w:tcPr>
            <w:tcW w:w="809"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val="0"/>
                <w:sz w:val="21"/>
                <w:szCs w:val="21"/>
                <w:lang w:bidi="ar-SA"/>
              </w:rPr>
              <w:t>≤</w:t>
            </w:r>
            <w:r>
              <w:rPr>
                <w:rFonts w:hint="eastAsia" w:ascii="仿宋_GB2312" w:hAnsi="仿宋_GB2312" w:eastAsia="仿宋_GB2312" w:cs="仿宋_GB2312"/>
                <w:bCs w:val="0"/>
                <w:sz w:val="21"/>
                <w:szCs w:val="21"/>
                <w:lang w:val="en-US" w:eastAsia="zh-CN" w:bidi="ar-SA"/>
              </w:rPr>
              <w:t>1548</w:t>
            </w:r>
          </w:p>
        </w:tc>
        <w:tc>
          <w:tcPr>
            <w:tcW w:w="615"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bidi="ar-SA"/>
              </w:rPr>
              <w:t>地面运动场，地下二层自走式停车库及配套设施</w:t>
            </w:r>
          </w:p>
        </w:tc>
        <w:tc>
          <w:tcPr>
            <w:tcW w:w="666" w:type="dxa"/>
            <w:vMerge w:val="restar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bidi="ar-SA"/>
              </w:rPr>
              <w:t>地下公共停车位≥750个</w:t>
            </w:r>
          </w:p>
        </w:tc>
        <w:tc>
          <w:tcPr>
            <w:tcW w:w="887" w:type="dxa"/>
            <w:vMerge w:val="restart"/>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交通服务场站用地50年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7" w:hRule="atLeast"/>
        </w:trPr>
        <w:tc>
          <w:tcPr>
            <w:tcW w:w="916" w:type="dxa"/>
            <w:vMerge w:val="continue"/>
            <w:tcMar>
              <w:left w:w="0" w:type="dxa"/>
              <w:right w:w="0" w:type="dxa"/>
            </w:tcMar>
            <w:vAlign w:val="center"/>
          </w:tcPr>
          <w:p>
            <w:pPr>
              <w:jc w:val="center"/>
              <w:rPr>
                <w:rFonts w:hint="default" w:ascii="Times New Roman" w:hAnsi="Times New Roman" w:cs="Times New Roman"/>
              </w:rPr>
            </w:pPr>
          </w:p>
        </w:tc>
        <w:tc>
          <w:tcPr>
            <w:tcW w:w="539" w:type="dxa"/>
            <w:vMerge w:val="continue"/>
            <w:vAlign w:val="center"/>
          </w:tcPr>
          <w:p>
            <w:pPr>
              <w:jc w:val="center"/>
              <w:rPr>
                <w:rFonts w:hint="default" w:ascii="Times New Roman" w:hAnsi="Times New Roman" w:cs="Times New Roman"/>
              </w:rPr>
            </w:pPr>
          </w:p>
        </w:tc>
        <w:tc>
          <w:tcPr>
            <w:tcW w:w="388" w:type="dxa"/>
            <w:vMerge w:val="continue"/>
            <w:vAlign w:val="center"/>
          </w:tcPr>
          <w:p>
            <w:pPr>
              <w:jc w:val="center"/>
              <w:rPr>
                <w:rFonts w:hint="default" w:ascii="Times New Roman" w:hAnsi="Times New Roman" w:cs="Times New Roman"/>
              </w:rPr>
            </w:pPr>
          </w:p>
        </w:tc>
        <w:tc>
          <w:tcPr>
            <w:tcW w:w="482" w:type="dxa"/>
            <w:vMerge w:val="continue"/>
            <w:tcMar>
              <w:left w:w="0" w:type="dxa"/>
              <w:right w:w="0" w:type="dxa"/>
            </w:tcMar>
            <w:vAlign w:val="center"/>
          </w:tcPr>
          <w:p>
            <w:pPr>
              <w:jc w:val="center"/>
              <w:rPr>
                <w:rFonts w:hint="default" w:ascii="Times New Roman" w:hAnsi="Times New Roman" w:cs="Times New Roman"/>
              </w:rPr>
            </w:pPr>
          </w:p>
        </w:tc>
        <w:tc>
          <w:tcPr>
            <w:tcW w:w="654" w:type="dxa"/>
            <w:vMerge w:val="continue"/>
            <w:tcMar>
              <w:left w:w="0" w:type="dxa"/>
              <w:right w:w="0" w:type="dxa"/>
            </w:tcMar>
            <w:vAlign w:val="center"/>
          </w:tcPr>
          <w:p>
            <w:pPr>
              <w:jc w:val="center"/>
              <w:rPr>
                <w:rFonts w:hint="default" w:ascii="Times New Roman" w:hAnsi="Times New Roman" w:cs="Times New Roman"/>
              </w:rPr>
            </w:pPr>
          </w:p>
        </w:tc>
        <w:tc>
          <w:tcPr>
            <w:tcW w:w="575" w:type="dxa"/>
            <w:vMerge w:val="continue"/>
            <w:vAlign w:val="center"/>
          </w:tcPr>
          <w:p>
            <w:pPr>
              <w:jc w:val="center"/>
              <w:rPr>
                <w:rFonts w:hint="default" w:ascii="Times New Roman" w:hAnsi="Times New Roman" w:cs="Times New Roman"/>
              </w:rPr>
            </w:pPr>
          </w:p>
        </w:tc>
        <w:tc>
          <w:tcPr>
            <w:tcW w:w="781" w:type="dxa"/>
            <w:vMerge w:val="continue"/>
            <w:vAlign w:val="center"/>
          </w:tcPr>
          <w:p>
            <w:pPr>
              <w:jc w:val="center"/>
              <w:rPr>
                <w:rFonts w:hint="default" w:ascii="Times New Roman" w:hAnsi="Times New Roman" w:cs="Times New Roman"/>
              </w:rPr>
            </w:pPr>
          </w:p>
        </w:tc>
        <w:tc>
          <w:tcPr>
            <w:tcW w:w="939" w:type="dxa"/>
            <w:vMerge w:val="continue"/>
            <w:vAlign w:val="center"/>
          </w:tcPr>
          <w:p>
            <w:pPr>
              <w:jc w:val="center"/>
              <w:rPr>
                <w:rFonts w:hint="default" w:ascii="Times New Roman" w:hAnsi="Times New Roman" w:cs="Times New Roman"/>
              </w:rPr>
            </w:pPr>
          </w:p>
        </w:tc>
        <w:tc>
          <w:tcPr>
            <w:tcW w:w="809" w:type="dxa"/>
            <w:vMerge w:val="continue"/>
            <w:vAlign w:val="center"/>
          </w:tcPr>
          <w:p>
            <w:pPr>
              <w:jc w:val="center"/>
              <w:rPr>
                <w:rFonts w:hint="default" w:ascii="Times New Roman" w:hAnsi="Times New Roman" w:cs="Times New Roman"/>
              </w:rPr>
            </w:pPr>
          </w:p>
        </w:tc>
        <w:tc>
          <w:tcPr>
            <w:tcW w:w="615" w:type="dxa"/>
            <w:vMerge w:val="continue"/>
            <w:vAlign w:val="center"/>
          </w:tcPr>
          <w:p>
            <w:pPr>
              <w:jc w:val="center"/>
              <w:rPr>
                <w:rFonts w:hint="default" w:ascii="Times New Roman" w:hAnsi="Times New Roman" w:cs="Times New Roman"/>
              </w:rPr>
            </w:pPr>
          </w:p>
        </w:tc>
        <w:tc>
          <w:tcPr>
            <w:tcW w:w="666" w:type="dxa"/>
            <w:vMerge w:val="continue"/>
            <w:vAlign w:val="center"/>
          </w:tcPr>
          <w:p>
            <w:pPr>
              <w:jc w:val="center"/>
              <w:rPr>
                <w:rFonts w:hint="default" w:ascii="Times New Roman" w:hAnsi="Times New Roman" w:cs="Times New Roman"/>
              </w:rPr>
            </w:pPr>
          </w:p>
        </w:tc>
        <w:tc>
          <w:tcPr>
            <w:tcW w:w="887" w:type="dxa"/>
            <w:vMerge w:val="continue"/>
            <w:vAlign w:val="center"/>
          </w:tcPr>
          <w:p>
            <w:pPr>
              <w:jc w:val="center"/>
              <w:rPr>
                <w:rFonts w:hint="default" w:ascii="Times New Roman" w:hAnsi="Times New Roman" w:eastAsia="仿宋" w:cs="Times New Roman"/>
              </w:rPr>
            </w:pPr>
          </w:p>
        </w:tc>
      </w:tr>
    </w:tbl>
    <w:p>
      <w:pPr>
        <w:tabs>
          <w:tab w:val="left" w:pos="11340"/>
        </w:tabs>
        <w:spacing w:line="600" w:lineRule="exact"/>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360" w:lineRule="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7061"/>
    <w:rsid w:val="015539EC"/>
    <w:rsid w:val="03043D1C"/>
    <w:rsid w:val="045C3FD8"/>
    <w:rsid w:val="046368B3"/>
    <w:rsid w:val="047C6F5A"/>
    <w:rsid w:val="069C76D6"/>
    <w:rsid w:val="07386886"/>
    <w:rsid w:val="07895069"/>
    <w:rsid w:val="07BE59A8"/>
    <w:rsid w:val="082B1937"/>
    <w:rsid w:val="09B41FDD"/>
    <w:rsid w:val="09EF4B5F"/>
    <w:rsid w:val="0B406DC0"/>
    <w:rsid w:val="0B78752F"/>
    <w:rsid w:val="0B7A084A"/>
    <w:rsid w:val="0D167AC3"/>
    <w:rsid w:val="0D430223"/>
    <w:rsid w:val="0DF23899"/>
    <w:rsid w:val="0E177AE2"/>
    <w:rsid w:val="0E5C0367"/>
    <w:rsid w:val="0E7A65F6"/>
    <w:rsid w:val="101D3BC2"/>
    <w:rsid w:val="10BD4DFA"/>
    <w:rsid w:val="137618AF"/>
    <w:rsid w:val="13D50F1B"/>
    <w:rsid w:val="161D2710"/>
    <w:rsid w:val="167673A1"/>
    <w:rsid w:val="16AA6FD1"/>
    <w:rsid w:val="16D56AAC"/>
    <w:rsid w:val="172121EB"/>
    <w:rsid w:val="17AA0480"/>
    <w:rsid w:val="17D36568"/>
    <w:rsid w:val="17F82A54"/>
    <w:rsid w:val="184078AE"/>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7A65DB8"/>
    <w:rsid w:val="28774868"/>
    <w:rsid w:val="28C60AA0"/>
    <w:rsid w:val="2A6B42FA"/>
    <w:rsid w:val="2A870225"/>
    <w:rsid w:val="2B5D4967"/>
    <w:rsid w:val="2CD66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33178A"/>
    <w:rsid w:val="43706132"/>
    <w:rsid w:val="44966F93"/>
    <w:rsid w:val="45C047BF"/>
    <w:rsid w:val="46FD730B"/>
    <w:rsid w:val="47AF3E70"/>
    <w:rsid w:val="4A1228DB"/>
    <w:rsid w:val="4A1B1ECC"/>
    <w:rsid w:val="4AE74DD0"/>
    <w:rsid w:val="4C2E14D5"/>
    <w:rsid w:val="4D1610A1"/>
    <w:rsid w:val="4DF35994"/>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4D925C4"/>
    <w:rsid w:val="64E467ED"/>
    <w:rsid w:val="65651799"/>
    <w:rsid w:val="68527CA2"/>
    <w:rsid w:val="692A6240"/>
    <w:rsid w:val="6B6E278B"/>
    <w:rsid w:val="6BE509C5"/>
    <w:rsid w:val="6C72571A"/>
    <w:rsid w:val="6E0C0E77"/>
    <w:rsid w:val="6EB83079"/>
    <w:rsid w:val="6EC11C99"/>
    <w:rsid w:val="6ED476F5"/>
    <w:rsid w:val="6F3F769A"/>
    <w:rsid w:val="6F4B3B48"/>
    <w:rsid w:val="6FF0551C"/>
    <w:rsid w:val="700A52E4"/>
    <w:rsid w:val="700B25B1"/>
    <w:rsid w:val="710659AD"/>
    <w:rsid w:val="727D44B4"/>
    <w:rsid w:val="728D40FC"/>
    <w:rsid w:val="7291218D"/>
    <w:rsid w:val="736D1677"/>
    <w:rsid w:val="73BE7EBD"/>
    <w:rsid w:val="73F22758"/>
    <w:rsid w:val="748840AA"/>
    <w:rsid w:val="761352C3"/>
    <w:rsid w:val="765425FB"/>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2021-10-12T02:14:00Z</cp:lastPrinted>
  <dcterms:modified xsi:type="dcterms:W3CDTF">2021-10-13T08:41:04Z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