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highlight w:val="none"/>
          <w:lang w:val="en-US" w:eastAsia="zh-CN"/>
        </w:rPr>
        <w:t>030</w:t>
      </w:r>
      <w:r>
        <w:rPr>
          <w:rFonts w:hint="eastAsia" w:ascii="仿宋_GB2312" w:eastAsia="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eastAsia="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eastAsia="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eastAsia="仿宋_GB2312"/>
          <w:sz w:val="32"/>
          <w:szCs w:val="32"/>
          <w:highlight w:val="none"/>
          <w:lang w:val="en-US" w:eastAsia="zh-CN"/>
        </w:rPr>
        <w:t>2021年10月8日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时至</w:t>
      </w:r>
      <w:r>
        <w:rPr>
          <w:rFonts w:hint="eastAsia" w:ascii="仿宋_GB2312" w:eastAsia="仿宋_GB2312"/>
          <w:sz w:val="32"/>
          <w:szCs w:val="32"/>
          <w:highlight w:val="none"/>
          <w:lang w:val="en-US" w:eastAsia="zh-CN"/>
        </w:rPr>
        <w:t>2021年10月22日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挂牌起始价为人民币</w:t>
      </w:r>
      <w:r>
        <w:rPr>
          <w:rFonts w:hint="eastAsia" w:ascii="仿宋_GB2312" w:eastAsia="仿宋_GB2312"/>
          <w:sz w:val="32"/>
          <w:szCs w:val="32"/>
          <w:highlight w:val="none"/>
          <w:lang w:val="en-US" w:eastAsia="zh-CN"/>
        </w:rPr>
        <w:t>19950万元</w:t>
      </w:r>
      <w:r>
        <w:rPr>
          <w:rFonts w:hint="eastAsia" w:ascii="仿宋_GB2312" w:hAnsi="仿宋_GB2312" w:eastAsia="仿宋_GB2312" w:cs="仿宋_GB2312"/>
          <w:sz w:val="32"/>
          <w:szCs w:val="32"/>
          <w:highlight w:val="none"/>
        </w:rPr>
        <w:t>,每次报价加价幅度为人民币</w:t>
      </w:r>
      <w:r>
        <w:rPr>
          <w:rFonts w:hint="eastAsia" w:ascii="仿宋_GB2312" w:eastAsia="仿宋_GB2312"/>
          <w:sz w:val="32"/>
          <w:szCs w:val="32"/>
          <w:highlight w:val="none"/>
          <w:lang w:val="en-US" w:eastAsia="zh-CN"/>
        </w:rPr>
        <w:t>100万元</w:t>
      </w:r>
      <w:r>
        <w:rPr>
          <w:rFonts w:hint="eastAsia" w:ascii="仿宋_GB2312" w:hAnsi="仿宋_GB2312" w:eastAsia="仿宋_GB2312" w:cs="仿宋_GB2312"/>
          <w:sz w:val="32"/>
          <w:szCs w:val="32"/>
          <w:highlight w:val="none"/>
        </w:rPr>
        <w:t>的整数倍</w:t>
      </w:r>
      <w:r>
        <w:rPr>
          <w:rFonts w:hint="eastAsia" w:ascii="仿宋_GB2312" w:hAnsi="仿宋_GB2312" w:eastAsia="仿宋_GB2312" w:cs="仿宋_GB2312"/>
          <w:sz w:val="32"/>
          <w:szCs w:val="32"/>
        </w:rPr>
        <w:t>。</w:t>
      </w:r>
    </w:p>
    <w:p>
      <w:pPr>
        <w:spacing w:line="520" w:lineRule="exact"/>
        <w:ind w:firstLine="720" w:firstLineChars="22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中华人民共和国境内外的法人和其他组织（除法律法规另有规定外），符合以下要求均可申请参加竞买：竞买申请</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需具备房地产开发资质，且同一企业及控股公司只允许一家企业参与竞买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申请企业可以单独申请，也可以联合申请：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eastAsia" w:ascii="Times New Roman" w:hAnsi="Times New Roman" w:cs="Times New Roman"/>
          <w:szCs w:val="32"/>
          <w:lang w:val="en-US" w:eastAsia="zh-CN"/>
        </w:rPr>
        <w:t>、</w:t>
      </w:r>
      <w:r>
        <w:rPr>
          <w:rFonts w:hint="default" w:ascii="Times New Roman" w:hAnsi="Times New Roman" w:cs="Times New Roman"/>
          <w:szCs w:val="32"/>
        </w:rPr>
        <w:t>单独申请竞买的，竞买申请人为非本市注册登记的企业，在竞得土地后，必须于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个月内在本市工商行政管理部门注册成立项目开发公司，并以该公司名义办理土地出让与登记发证手续。新成立公司必须是竞得人的全资子公司，即新公司的股东必须</w:t>
      </w:r>
      <w:r>
        <w:rPr>
          <w:rFonts w:hint="default" w:ascii="Times New Roman" w:hAnsi="Times New Roman" w:eastAsia="仿宋_GB2312" w:cs="Times New Roman"/>
          <w:kern w:val="2"/>
          <w:sz w:val="32"/>
          <w:szCs w:val="22"/>
          <w:lang w:val="en-US" w:eastAsia="zh-CN" w:bidi="ar-SA"/>
        </w:rPr>
        <w:t>100</w:t>
      </w:r>
      <w:r>
        <w:rPr>
          <w:rFonts w:hint="default" w:ascii="Times New Roman" w:hAnsi="Times New Roman" w:cs="Times New Roman"/>
          <w:szCs w:val="32"/>
        </w:rPr>
        <w:t>%是竞买申请企业作为法人的股东。根据挂牌出让结果，可先与竞得人签订《出让合同》，在竞得人按约定办理完新公司注册登记手续后，再与新公司签订国有建设用地使用权出让合同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eastAsia" w:ascii="Times New Roman" w:hAnsi="Times New Roman" w:cs="Times New Roman"/>
          <w:szCs w:val="32"/>
          <w:lang w:val="en-US" w:eastAsia="zh-CN"/>
        </w:rPr>
        <w:t>条款</w:t>
      </w:r>
      <w:r>
        <w:rPr>
          <w:rFonts w:hint="default" w:ascii="Times New Roman" w:hAnsi="Times New Roman" w:cs="Times New Roman"/>
          <w:szCs w:val="32"/>
        </w:rPr>
        <w:t>；也可按约定直接与新公司签订《出让合同》。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w:t>
      </w:r>
      <w:r>
        <w:rPr>
          <w:rFonts w:hint="default" w:ascii="Times New Roman" w:hAnsi="Times New Roman" w:cs="Times New Roman"/>
          <w:szCs w:val="32"/>
        </w:rPr>
        <w:t>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个月内在本市工商行政管理部门按照申请书申报的出资人及出资比例设立新公司。根据挂牌出让结果，可先与竞得人签订《出让合同》</w:t>
      </w:r>
      <w:r>
        <w:rPr>
          <w:rFonts w:hint="eastAsia" w:ascii="Times New Roman" w:hAnsi="Times New Roman" w:cs="Times New Roman"/>
          <w:szCs w:val="32"/>
          <w:lang w:eastAsia="zh-CN"/>
        </w:rPr>
        <w:t>，</w:t>
      </w:r>
      <w:r>
        <w:rPr>
          <w:rFonts w:hint="default" w:ascii="Times New Roman" w:hAnsi="Times New Roman" w:cs="Times New Roman"/>
          <w:szCs w:val="32"/>
        </w:rPr>
        <w:t>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eastAsia" w:ascii="Times New Roman" w:hAnsi="Times New Roman" w:cs="Times New Roman"/>
          <w:szCs w:val="32"/>
          <w:lang w:val="en-US" w:eastAsia="zh-CN"/>
        </w:rPr>
        <w:t>条款</w:t>
      </w:r>
      <w:r>
        <w:rPr>
          <w:rFonts w:hint="default" w:ascii="Times New Roman" w:hAnsi="Times New Roman" w:cs="Times New Roman"/>
          <w:szCs w:val="32"/>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二</w:t>
      </w:r>
      <w:r>
        <w:rPr>
          <w:rFonts w:hint="default" w:ascii="Times New Roman" w:hAnsi="Times New Roman" w:eastAsia="仿宋_GB2312" w:cs="Times New Roman"/>
          <w:kern w:val="2"/>
          <w:sz w:val="32"/>
          <w:szCs w:val="32"/>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default" w:ascii="Times New Roman" w:hAnsi="Times New Roman" w:eastAsia="仿宋_GB2312" w:cs="Times New Roman"/>
          <w:kern w:val="2"/>
          <w:sz w:val="32"/>
          <w:szCs w:val="32"/>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eastAsia="仿宋_GB2312" w:cs="仿宋_GB2312"/>
          <w:szCs w:val="32"/>
          <w:lang w:val="en-US" w:eastAsia="zh-CN"/>
        </w:rPr>
      </w:pPr>
      <w:r>
        <w:rPr>
          <w:rFonts w:hint="eastAsia" w:hAnsi="仿宋_GB2312" w:cs="仿宋_GB2312"/>
          <w:szCs w:val="32"/>
          <w:lang w:val="en-US" w:eastAsia="zh-CN"/>
        </w:rPr>
        <w:t>五</w:t>
      </w:r>
      <w:r>
        <w:rPr>
          <w:rFonts w:hint="eastAsia" w:hAnsi="仿宋_GB2312" w:cs="仿宋_GB2312"/>
          <w:szCs w:val="32"/>
        </w:rPr>
        <w:t>、</w:t>
      </w:r>
      <w:r>
        <w:rPr>
          <w:rFonts w:hint="default" w:ascii="Times New Roman" w:hAnsi="Times New Roman" w:cs="Times New Roman"/>
          <w:szCs w:val="32"/>
        </w:rPr>
        <w:t>该宗地竞买保证金可用人民币及外币（暂限于美元、港币）支付</w:t>
      </w:r>
      <w:r>
        <w:rPr>
          <w:rFonts w:hint="eastAsia" w:ascii="Times New Roman" w:hAnsi="Times New Roman" w:cs="Times New Roman"/>
          <w:szCs w:val="32"/>
          <w:lang w:eastAsia="zh-CN"/>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六</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w:t>
      </w:r>
      <w:r>
        <w:rPr>
          <w:rFonts w:hint="default" w:ascii="Times New Roman" w:hAnsi="Times New Roman" w:cs="Times New Roman"/>
          <w:szCs w:val="32"/>
        </w:rPr>
        <w:t>缴交竞买保证金</w:t>
      </w:r>
      <w:r>
        <w:rPr>
          <w:rFonts w:hint="eastAsia" w:ascii="Times New Roman" w:hAnsi="Times New Roman" w:cs="Times New Roman"/>
          <w:b w:val="0"/>
          <w:bCs w:val="0"/>
          <w:kern w:val="2"/>
          <w:sz w:val="32"/>
          <w:szCs w:val="32"/>
          <w:lang w:val="en-US" w:eastAsia="zh-CN" w:bidi="ar-SA"/>
        </w:rPr>
        <w:t>5985</w:t>
      </w:r>
      <w:r>
        <w:rPr>
          <w:rFonts w:hint="default" w:ascii="Times New Roman" w:hAnsi="Times New Roman" w:cs="Times New Roman"/>
          <w:szCs w:val="32"/>
        </w:rPr>
        <w:t>万元人民币，如以外币缴交竞买保证金的，须缴交</w:t>
      </w:r>
      <w:r>
        <w:rPr>
          <w:rFonts w:hint="default" w:ascii="Times New Roman" w:hAnsi="Times New Roman" w:eastAsia="仿宋_GB2312" w:cs="Times New Roman"/>
          <w:color w:val="000000"/>
          <w:sz w:val="32"/>
          <w:szCs w:val="32"/>
        </w:rPr>
        <w:t>美元</w:t>
      </w:r>
      <w:r>
        <w:rPr>
          <w:rFonts w:hint="eastAsia" w:ascii="Times New Roman" w:hAnsi="Times New Roman" w:cs="Times New Roman"/>
          <w:b w:val="0"/>
          <w:bCs w:val="0"/>
          <w:kern w:val="2"/>
          <w:sz w:val="32"/>
          <w:szCs w:val="32"/>
          <w:lang w:val="en-US" w:eastAsia="zh-CN" w:bidi="ar-SA"/>
        </w:rPr>
        <w:t>927</w:t>
      </w:r>
      <w:r>
        <w:rPr>
          <w:rFonts w:hint="default" w:ascii="Times New Roman" w:hAnsi="Times New Roman" w:eastAsia="仿宋_GB2312" w:cs="Times New Roman"/>
          <w:color w:val="000000"/>
          <w:sz w:val="32"/>
          <w:szCs w:val="32"/>
        </w:rPr>
        <w:t>万元</w:t>
      </w:r>
      <w:r>
        <w:rPr>
          <w:rFonts w:hint="default" w:ascii="Times New Roman" w:hAnsi="Times New Roman" w:cs="Times New Roman"/>
          <w:color w:val="000000"/>
          <w:sz w:val="32"/>
          <w:szCs w:val="32"/>
          <w:lang w:eastAsia="zh-CN"/>
        </w:rPr>
        <w:t>或</w:t>
      </w:r>
      <w:r>
        <w:rPr>
          <w:rFonts w:hint="default" w:ascii="Times New Roman" w:hAnsi="Times New Roman" w:eastAsia="仿宋_GB2312" w:cs="Times New Roman"/>
          <w:color w:val="000000"/>
          <w:sz w:val="32"/>
          <w:szCs w:val="32"/>
        </w:rPr>
        <w:t>港币</w:t>
      </w:r>
      <w:bookmarkStart w:id="0" w:name="_GoBack"/>
      <w:bookmarkEnd w:id="0"/>
      <w:r>
        <w:rPr>
          <w:rFonts w:hint="eastAsia" w:ascii="Times New Roman" w:hAnsi="Times New Roman" w:cs="Times New Roman"/>
          <w:b w:val="0"/>
          <w:bCs w:val="0"/>
          <w:kern w:val="2"/>
          <w:sz w:val="32"/>
          <w:szCs w:val="32"/>
          <w:lang w:val="en-US" w:eastAsia="zh-CN" w:bidi="ar-SA"/>
        </w:rPr>
        <w:t>7204</w:t>
      </w:r>
      <w:r>
        <w:rPr>
          <w:rFonts w:hint="default" w:ascii="Times New Roman" w:hAnsi="Times New Roman" w:eastAsia="仿宋_GB2312" w:cs="Times New Roman"/>
          <w:color w:val="000000"/>
          <w:sz w:val="32"/>
          <w:szCs w:val="32"/>
        </w:rPr>
        <w:t>万元</w:t>
      </w:r>
      <w:r>
        <w:rPr>
          <w:rFonts w:hint="eastAsia" w:hAnsi="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cs="Times New Roman"/>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cs="Times New Roman"/>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cs="Times New Roman"/>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cs="Times New Roman"/>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cs="Times New Roman"/>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color w:val="000000"/>
          <w:sz w:val="32"/>
          <w:szCs w:val="32"/>
          <w:lang w:val="en-US" w:eastAsia="zh-CN"/>
        </w:rPr>
        <w:t>购地资金超过“三道红线”，存在重大失信行为的</w:t>
      </w:r>
      <w:r>
        <w:rPr>
          <w:rFonts w:hint="default" w:ascii="Times New Roman" w:hAnsi="Times New Roman" w:eastAsia="仿宋_GB2312" w:cs="Times New Roman"/>
          <w:color w:val="000000"/>
          <w:sz w:val="32"/>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cs="Times New Roman"/>
          <w:szCs w:val="32"/>
          <w:lang w:val="en-US" w:eastAsia="zh-CN"/>
        </w:rPr>
        <w:t>、</w:t>
      </w:r>
      <w:r>
        <w:rPr>
          <w:rFonts w:hint="default" w:ascii="Times New Roman" w:hAnsi="Times New Roman" w:cs="Times New Roman"/>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highlight w:val="none"/>
          <w:lang w:val="en-US" w:eastAsia="zh-CN"/>
        </w:rPr>
        <w:t>本次国有建设用地使用权网上挂牌</w:t>
      </w:r>
      <w:r>
        <w:rPr>
          <w:rFonts w:hint="default" w:ascii="Times New Roman" w:hAnsi="Times New Roman" w:eastAsia="仿宋_GB2312" w:cs="Times New Roman"/>
          <w:sz w:val="32"/>
          <w:szCs w:val="32"/>
          <w:highlight w:val="none"/>
          <w:lang w:val="en-US" w:eastAsia="zh-CN"/>
        </w:rPr>
        <w:t>竞价达到</w:t>
      </w:r>
      <w:r>
        <w:rPr>
          <w:rFonts w:hint="eastAsia" w:ascii="Times New Roman" w:hAnsi="Times New Roman" w:eastAsia="仿宋_GB2312" w:cs="Times New Roman"/>
          <w:b w:val="0"/>
          <w:bCs w:val="0"/>
          <w:kern w:val="2"/>
          <w:sz w:val="32"/>
          <w:szCs w:val="32"/>
          <w:highlight w:val="none"/>
          <w:lang w:val="en-US" w:eastAsia="zh-CN" w:bidi="ar-SA"/>
        </w:rPr>
        <w:t>22940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转为采</w:t>
      </w:r>
      <w:r>
        <w:rPr>
          <w:rFonts w:hint="default" w:ascii="Times New Roman" w:hAnsi="Times New Roman" w:eastAsia="仿宋_GB2312" w:cs="Times New Roman"/>
          <w:sz w:val="32"/>
          <w:szCs w:val="32"/>
          <w:highlight w:val="none"/>
          <w:lang w:val="en-US" w:eastAsia="zh-CN"/>
        </w:rPr>
        <w:t>取</w:t>
      </w:r>
      <w:r>
        <w:rPr>
          <w:rFonts w:hint="default" w:ascii="Times New Roman" w:hAnsi="Times New Roman" w:eastAsia="仿宋_GB2312" w:cs="Times New Roman"/>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eastAsia="仿宋_GB2312"/>
          <w:sz w:val="32"/>
          <w:szCs w:val="32"/>
          <w:highlight w:val="none"/>
          <w:lang w:val="en-US" w:eastAsia="zh-CN"/>
        </w:rPr>
        <w:t>2021年10月22日</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default" w:ascii="Times New Roman" w:hAnsi="Times New Roman" w:eastAsia="仿宋_GB2312" w:cs="Times New Roman"/>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spacing w:line="560" w:lineRule="exact"/>
        <w:ind w:firstLine="640" w:firstLineChars="200"/>
        <w:rPr>
          <w:rFonts w:hint="eastAsia" w:ascii="仿宋_GB2312" w:eastAsia="仿宋_GB2312" w:cs="仿宋_GB2312"/>
          <w:sz w:val="32"/>
          <w:szCs w:val="32"/>
          <w:lang w:bidi="ar-SA"/>
        </w:rPr>
      </w:pPr>
      <w:r>
        <w:rPr>
          <w:rFonts w:hint="default" w:ascii="Times New Roman" w:hAnsi="Times New Roman" w:eastAsia="仿宋_GB2312" w:cs="Times New Roman"/>
          <w:color w:val="auto"/>
          <w:sz w:val="32"/>
          <w:szCs w:val="32"/>
          <w:highlight w:val="none"/>
        </w:rPr>
        <w:t>（一）该地块所建单套毛坯商品住宅销售单价不高于18694元/㎡。</w:t>
      </w:r>
    </w:p>
    <w:p>
      <w:pPr>
        <w:spacing w:line="56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二</w:t>
      </w:r>
      <w:r>
        <w:rPr>
          <w:rFonts w:hint="eastAsia" w:ascii="仿宋_GB2312" w:eastAsia="仿宋_GB2312" w:cs="仿宋_GB2312"/>
          <w:sz w:val="32"/>
          <w:szCs w:val="32"/>
          <w:lang w:bidi="ar-SA"/>
        </w:rPr>
        <w:t>）</w:t>
      </w:r>
      <w:r>
        <w:rPr>
          <w:rFonts w:eastAsia="仿宋_GB2312"/>
          <w:sz w:val="32"/>
          <w:szCs w:val="32"/>
        </w:rPr>
        <w:t>开发投资总额不少于</w:t>
      </w:r>
      <w:r>
        <w:rPr>
          <w:rFonts w:hint="eastAsia" w:ascii="Times New Roman" w:hAnsi="Times New Roman" w:eastAsia="仿宋_GB2312" w:cs="Times New Roman"/>
          <w:kern w:val="2"/>
          <w:sz w:val="32"/>
          <w:szCs w:val="22"/>
          <w:lang w:val="en-US" w:eastAsia="zh-CN" w:bidi="ar-SA"/>
        </w:rPr>
        <w:t>28500</w:t>
      </w:r>
      <w:r>
        <w:rPr>
          <w:rFonts w:eastAsia="仿宋_GB2312"/>
          <w:sz w:val="32"/>
          <w:szCs w:val="32"/>
        </w:rPr>
        <w:t>万元（含地价,不含地价溢价部分）。</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w:t>
      </w:r>
      <w:r>
        <w:rPr>
          <w:rFonts w:hint="eastAsia" w:eastAsia="仿宋_GB2312" w:cs="Times New Roman"/>
          <w:sz w:val="32"/>
          <w:szCs w:val="32"/>
          <w:lang w:eastAsia="zh-CN" w:bidi="ar-SA"/>
        </w:rPr>
        <w:t>三</w:t>
      </w:r>
      <w:r>
        <w:rPr>
          <w:rFonts w:hint="default" w:ascii="Times New Roman" w:hAnsi="Times New Roman" w:eastAsia="仿宋_GB2312" w:cs="Times New Roman"/>
          <w:sz w:val="32"/>
          <w:szCs w:val="32"/>
          <w:lang w:bidi="ar-SA"/>
        </w:rPr>
        <w:t>）土地成交价款须以人民币支付,竞得人在签订《出让合同》之日起30日内付清全部成交价款。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四</w:t>
      </w:r>
      <w:r>
        <w:rPr>
          <w:rFonts w:hint="eastAsia" w:ascii="仿宋_GB2312" w:eastAsia="仿宋_GB2312" w:cs="仿宋_GB2312"/>
          <w:sz w:val="32"/>
          <w:szCs w:val="32"/>
          <w:lang w:bidi="ar-SA"/>
        </w:rPr>
        <w:t>）该地权利清晰，安置补偿落实到位，没有法律经济纠纷，具备动工开发所必须的基本条件。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eastAsia="zh-CN" w:bidi="ar-SA"/>
        </w:rPr>
        <w:t>（</w:t>
      </w:r>
      <w:r>
        <w:rPr>
          <w:rFonts w:hint="eastAsia" w:eastAsia="仿宋_GB2312" w:cs="Times New Roman"/>
          <w:kern w:val="2"/>
          <w:sz w:val="32"/>
          <w:szCs w:val="32"/>
          <w:highlight w:val="none"/>
          <w:lang w:eastAsia="zh-CN" w:bidi="ar-SA"/>
        </w:rPr>
        <w:t>五</w:t>
      </w:r>
      <w:r>
        <w:rPr>
          <w:rFonts w:hint="default" w:ascii="Times New Roman" w:hAnsi="Times New Roman" w:eastAsia="仿宋_GB2312" w:cs="Times New Roman"/>
          <w:kern w:val="2"/>
          <w:sz w:val="32"/>
          <w:szCs w:val="32"/>
          <w:highlight w:val="none"/>
          <w:lang w:eastAsia="zh-CN" w:bidi="ar-SA"/>
        </w:rPr>
        <w:t>）竞得人在用地红线内开发建设必须符合城市规划要求，必须按《</w:t>
      </w:r>
      <w:r>
        <w:rPr>
          <w:rFonts w:hint="eastAsia" w:ascii="Times New Roman" w:hAnsi="Times New Roman" w:eastAsia="仿宋_GB2312" w:cs="Times New Roman"/>
          <w:kern w:val="2"/>
          <w:sz w:val="32"/>
          <w:szCs w:val="32"/>
          <w:highlight w:val="none"/>
          <w:lang w:eastAsia="zh-CN" w:bidi="ar-SA"/>
        </w:rPr>
        <w:t>规划设计条件告知书</w:t>
      </w:r>
      <w:r>
        <w:rPr>
          <w:rFonts w:hint="default" w:ascii="Times New Roman" w:hAnsi="Times New Roman" w:eastAsia="仿宋_GB2312" w:cs="Times New Roman"/>
          <w:kern w:val="2"/>
          <w:sz w:val="32"/>
          <w:szCs w:val="32"/>
          <w:highlight w:val="none"/>
          <w:lang w:eastAsia="zh-CN" w:bidi="ar-SA"/>
        </w:rPr>
        <w:t>》（案卷编号：</w:t>
      </w:r>
      <w:r>
        <w:rPr>
          <w:rFonts w:hint="default" w:ascii="Times New Roman" w:hAnsi="Times New Roman" w:eastAsia="仿宋_GB2312" w:cs="Times New Roman"/>
          <w:kern w:val="2"/>
          <w:sz w:val="32"/>
          <w:szCs w:val="32"/>
          <w:highlight w:val="none"/>
          <w:lang w:val="en-US" w:eastAsia="zh-CN" w:bidi="ar-SA"/>
        </w:rPr>
        <w:t>PB20210</w:t>
      </w:r>
      <w:r>
        <w:rPr>
          <w:rFonts w:hint="eastAsia"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32</w:t>
      </w:r>
      <w:r>
        <w:rPr>
          <w:rFonts w:hint="default" w:ascii="Times New Roman" w:hAnsi="Times New Roman" w:eastAsia="仿宋_GB2312" w:cs="Times New Roman"/>
          <w:kern w:val="2"/>
          <w:sz w:val="32"/>
          <w:szCs w:val="32"/>
          <w:highlight w:val="none"/>
          <w:lang w:eastAsia="zh-CN" w:bidi="ar-SA"/>
        </w:rPr>
        <w:t>）规划控制指标要求及有关规定进行规划设计</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竞得人有下列行为之一的，取消竞得人资格，竞买保证金</w:t>
      </w:r>
      <w:r>
        <w:rPr>
          <w:rFonts w:hint="eastAsia" w:ascii="Times New Roman" w:hAnsi="Times New Roman" w:eastAsia="仿宋_GB2312" w:cs="Times New Roman"/>
          <w:sz w:val="32"/>
          <w:szCs w:val="32"/>
          <w:lang w:val="en-US" w:eastAsia="zh-CN"/>
        </w:rPr>
        <w:t>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default" w:ascii="Times New Roman" w:hAnsi="Times New Roman" w:eastAsia="仿宋_GB2312" w:cs="Times New Roman"/>
          <w:sz w:val="32"/>
          <w:szCs w:val="32"/>
        </w:rPr>
        <w:t>惠州市江北三新南路7号</w:t>
      </w:r>
    </w:p>
    <w:p>
      <w:pPr>
        <w:spacing w:line="520" w:lineRule="exact"/>
        <w:ind w:right="64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陈小姐</w:t>
      </w:r>
    </w:p>
    <w:p>
      <w:pPr>
        <w:spacing w:line="520" w:lineRule="exact"/>
        <w:ind w:right="64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仿宋_GB2312" w:hAnsi="仿宋_GB2312" w:eastAsia="仿宋_GB2312" w:cs="仿宋_GB2312"/>
          <w:color w:val="auto"/>
          <w:kern w:val="2"/>
          <w:sz w:val="32"/>
          <w:szCs w:val="32"/>
          <w:highlight w:val="none"/>
          <w:lang w:val="en-US" w:eastAsia="zh-CN" w:bidi="ar-SA"/>
        </w:rPr>
        <w:t>（0752）</w:t>
      </w:r>
      <w:r>
        <w:rPr>
          <w:rFonts w:hint="eastAsia" w:ascii="仿宋_GB2312" w:hAnsi="仿宋_GB2312" w:eastAsia="仿宋_GB2312" w:cs="仿宋_GB2312"/>
          <w:color w:val="auto"/>
          <w:kern w:val="2"/>
          <w:sz w:val="32"/>
          <w:szCs w:val="32"/>
          <w:highlight w:val="none"/>
          <w:lang w:val="en-US" w:eastAsia="zh-CN" w:bidi="ar-SA"/>
        </w:rPr>
        <w:t>2896286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2021年9月16日</w:t>
      </w:r>
    </w:p>
    <w:p>
      <w:pPr>
        <w:keepNext w:val="0"/>
        <w:keepLines w:val="0"/>
        <w:pageBreakBefore w:val="0"/>
        <w:widowControl w:val="0"/>
        <w:kinsoku/>
        <w:wordWrap/>
        <w:overflowPunct/>
        <w:topLinePunct w:val="0"/>
        <w:bidi w:val="0"/>
        <w:spacing w:line="560" w:lineRule="exact"/>
        <w:textAlignment w:val="auto"/>
        <w:rPr>
          <w:rFonts w:hint="eastAsia" w:ascii="黑体" w:hAnsi="黑体" w:eastAsia="黑体"/>
          <w:sz w:val="32"/>
          <w:szCs w:val="32"/>
        </w:rPr>
      </w:pPr>
      <w:r>
        <w:rPr>
          <w:rFonts w:hint="eastAsia" w:ascii="黑体" w:hAnsi="黑体" w:eastAsia="黑体"/>
          <w:sz w:val="32"/>
          <w:szCs w:val="32"/>
        </w:rPr>
        <w:t>附表</w:t>
      </w:r>
    </w:p>
    <w:p>
      <w:pPr>
        <w:keepNext w:val="0"/>
        <w:keepLines w:val="0"/>
        <w:pageBreakBefore w:val="0"/>
        <w:widowControl w:val="0"/>
        <w:tabs>
          <w:tab w:val="left" w:pos="9720"/>
        </w:tabs>
        <w:kinsoku/>
        <w:wordWrap/>
        <w:overflowPunct/>
        <w:topLinePunct w:val="0"/>
        <w:bidi w:val="0"/>
        <w:spacing w:line="560" w:lineRule="exact"/>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keepNext w:val="0"/>
        <w:keepLines w:val="0"/>
        <w:pageBreakBefore w:val="0"/>
        <w:widowControl w:val="0"/>
        <w:kinsoku/>
        <w:wordWrap/>
        <w:overflowPunct/>
        <w:topLinePunct w:val="0"/>
        <w:bidi w:val="0"/>
        <w:spacing w:line="560" w:lineRule="exact"/>
        <w:textAlignment w:val="auto"/>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挂牌地块编号</w:t>
            </w:r>
          </w:p>
        </w:tc>
        <w:tc>
          <w:tcPr>
            <w:tcW w:w="690"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土地</w:t>
            </w:r>
          </w:p>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位置</w:t>
            </w:r>
          </w:p>
        </w:tc>
        <w:tc>
          <w:tcPr>
            <w:tcW w:w="615"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lang w:val="en-US" w:eastAsia="zh-CN"/>
              </w:rPr>
              <w:t>土地</w:t>
            </w:r>
            <w:r>
              <w:rPr>
                <w:rFonts w:hint="eastAsia" w:ascii="仿宋_GB2312" w:eastAsia="仿宋_GB2312"/>
                <w:b/>
                <w:bCs/>
                <w:szCs w:val="21"/>
                <w:highlight w:val="none"/>
              </w:rPr>
              <w:t>编号</w:t>
            </w:r>
          </w:p>
        </w:tc>
        <w:tc>
          <w:tcPr>
            <w:tcW w:w="570"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土地</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用途</w:t>
            </w:r>
          </w:p>
        </w:tc>
        <w:tc>
          <w:tcPr>
            <w:tcW w:w="774"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宗地使用权面积（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6956" w:type="dxa"/>
            <w:gridSpan w:val="7"/>
            <w:vAlign w:val="center"/>
          </w:tcPr>
          <w:p>
            <w:pPr>
              <w:keepNext w:val="0"/>
              <w:keepLines w:val="0"/>
              <w:pageBreakBefore w:val="0"/>
              <w:widowControl w:val="0"/>
              <w:kinsoku/>
              <w:wordWrap/>
              <w:overflowPunct/>
              <w:topLinePunct w:val="0"/>
              <w:bidi w:val="0"/>
              <w:adjustRightInd w:val="0"/>
              <w:snapToGrid w:val="0"/>
              <w:spacing w:line="560" w:lineRule="exact"/>
              <w:ind w:left="1" w:leftChars="-89" w:hanging="188" w:hangingChars="89"/>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规划指标要求</w:t>
            </w:r>
          </w:p>
        </w:tc>
        <w:tc>
          <w:tcPr>
            <w:tcW w:w="670" w:type="dxa"/>
            <w:vMerge w:val="restart"/>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lang w:eastAsia="zh-CN"/>
              </w:rPr>
            </w:pPr>
            <w:r>
              <w:rPr>
                <w:rFonts w:hint="eastAsia" w:ascii="仿宋_GB2312" w:eastAsia="仿宋_GB2312"/>
                <w:b/>
                <w:bCs/>
                <w:highlight w:val="none"/>
              </w:rPr>
              <w:t>出让年限</w:t>
            </w:r>
            <w:r>
              <w:rPr>
                <w:rFonts w:hint="eastAsia" w:ascii="仿宋_GB2312" w:eastAsia="仿宋_GB2312"/>
                <w:b/>
                <w:bCs/>
                <w:highlight w:val="none"/>
                <w:lang w:eastAsia="zh-CN"/>
              </w:rPr>
              <w:t>（</w:t>
            </w:r>
            <w:r>
              <w:rPr>
                <w:rFonts w:hint="eastAsia" w:ascii="仿宋_GB2312" w:eastAsia="仿宋_GB2312"/>
                <w:b/>
                <w:bCs/>
                <w:highlight w:val="none"/>
                <w:lang w:val="en-US" w:eastAsia="zh-CN"/>
              </w:rPr>
              <w:t>年</w:t>
            </w:r>
            <w:r>
              <w:rPr>
                <w:rFonts w:hint="eastAsia" w:ascii="仿宋_GB2312" w:eastAsia="仿宋_GB2312"/>
                <w:b/>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69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61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57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774"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948"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计算指标用地面积（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72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eastAsia="仿宋_GB2312"/>
                <w:b/>
                <w:szCs w:val="21"/>
                <w:highlight w:val="none"/>
              </w:rPr>
              <w:t>建筑密度</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highlight w:val="none"/>
              </w:rPr>
            </w:pPr>
            <w:r>
              <w:rPr>
                <w:rFonts w:hint="eastAsia" w:ascii="宋体" w:hAnsi="宋体" w:cs="宋体"/>
                <w:b/>
                <w:szCs w:val="21"/>
                <w:highlight w:val="none"/>
              </w:rPr>
              <w:t>（％）</w:t>
            </w:r>
          </w:p>
        </w:tc>
        <w:tc>
          <w:tcPr>
            <w:tcW w:w="672"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容积率</w:t>
            </w:r>
          </w:p>
        </w:tc>
        <w:tc>
          <w:tcPr>
            <w:tcW w:w="1650" w:type="dxa"/>
            <w:vAlign w:val="center"/>
          </w:tcPr>
          <w:p>
            <w:pPr>
              <w:keepNext w:val="0"/>
              <w:keepLines w:val="0"/>
              <w:pageBreakBefore w:val="0"/>
              <w:widowControl w:val="0"/>
              <w:kinsoku/>
              <w:wordWrap/>
              <w:overflowPunct/>
              <w:topLinePunct w:val="0"/>
              <w:bidi w:val="0"/>
              <w:spacing w:line="560" w:lineRule="exact"/>
              <w:ind w:left="44" w:right="-53" w:rightChars="-25" w:hanging="44" w:hangingChars="21"/>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计容积率建筑面积（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1087"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rPr>
            </w:pPr>
            <w:r>
              <w:rPr>
                <w:rFonts w:hint="eastAsia" w:eastAsia="仿宋_GB2312"/>
                <w:b/>
                <w:szCs w:val="21"/>
                <w:highlight w:val="none"/>
              </w:rPr>
              <w:t>机动车停车位配建标准</w:t>
            </w:r>
          </w:p>
        </w:tc>
        <w:tc>
          <w:tcPr>
            <w:tcW w:w="90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eastAsia="仿宋_GB2312"/>
                <w:b/>
                <w:szCs w:val="21"/>
                <w:highlight w:val="none"/>
              </w:rPr>
              <w:t>绿地率</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ascii="宋体" w:hAnsi="宋体" w:cs="宋体"/>
                <w:b/>
                <w:szCs w:val="21"/>
                <w:highlight w:val="none"/>
              </w:rPr>
              <w:t>（％）</w:t>
            </w:r>
          </w:p>
        </w:tc>
        <w:tc>
          <w:tcPr>
            <w:tcW w:w="979"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lang w:eastAsia="zh-CN"/>
              </w:rPr>
            </w:pPr>
            <w:r>
              <w:rPr>
                <w:rFonts w:hint="default" w:ascii="Times New Roman" w:hAnsi="Times New Roman" w:eastAsia="仿宋_GB2312" w:cs="Times New Roman"/>
                <w:b/>
                <w:bCs/>
                <w:szCs w:val="21"/>
              </w:rPr>
              <w:t>适建性</w:t>
            </w:r>
          </w:p>
        </w:tc>
        <w:tc>
          <w:tcPr>
            <w:tcW w:w="670"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GP2021- 30</w:t>
            </w:r>
          </w:p>
        </w:tc>
        <w:tc>
          <w:tcPr>
            <w:tcW w:w="690"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val="en-US" w:eastAsia="zh-CN"/>
              </w:rPr>
              <w:t>惠州市惠城区江北片南区JB4-2-3地块</w:t>
            </w:r>
          </w:p>
        </w:tc>
        <w:tc>
          <w:tcPr>
            <w:tcW w:w="615"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JB4-2-3</w:t>
            </w:r>
          </w:p>
        </w:tc>
        <w:tc>
          <w:tcPr>
            <w:tcW w:w="570" w:type="dxa"/>
            <w:tcMar>
              <w:left w:w="0" w:type="dxa"/>
              <w:right w:w="0" w:type="dxa"/>
            </w:tcMar>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二类城镇住宅、商服用地</w:t>
            </w:r>
          </w:p>
        </w:tc>
        <w:tc>
          <w:tcPr>
            <w:tcW w:w="774"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val="en-US" w:eastAsia="zh-CN" w:bidi="ar-SA"/>
              </w:rPr>
              <w:t>5528.37</w:t>
            </w:r>
          </w:p>
        </w:tc>
        <w:tc>
          <w:tcPr>
            <w:tcW w:w="948" w:type="dxa"/>
            <w:vAlign w:val="center"/>
          </w:tcPr>
          <w:p>
            <w:pPr>
              <w:jc w:val="center"/>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val="en-US" w:eastAsia="zh-CN" w:bidi="ar-SA"/>
              </w:rPr>
              <w:t>9195.09</w:t>
            </w:r>
          </w:p>
        </w:tc>
        <w:tc>
          <w:tcPr>
            <w:tcW w:w="720" w:type="dxa"/>
            <w:vAlign w:val="center"/>
          </w:tcPr>
          <w:p>
            <w:pPr>
              <w:adjustRightInd w:val="0"/>
              <w:snapToGrid w:val="0"/>
              <w:spacing w:line="400" w:lineRule="exact"/>
              <w:jc w:val="center"/>
              <w:rPr>
                <w:rFonts w:hint="default" w:ascii="Times New Roman" w:hAnsi="Times New Roman" w:eastAsia="仿宋_GB2312" w:cs="Times New Roman"/>
                <w:szCs w:val="21"/>
                <w:lang w:bidi="ar-SA"/>
              </w:rPr>
            </w:pPr>
            <w:r>
              <w:rPr>
                <w:rFonts w:hint="default" w:ascii="Times New Roman" w:hAnsi="Times New Roman" w:eastAsia="仿宋_GB2312" w:cs="Times New Roman"/>
                <w:szCs w:val="21"/>
                <w:lang w:bidi="ar-SA"/>
              </w:rPr>
              <w:t>≤</w:t>
            </w:r>
          </w:p>
          <w:p>
            <w:pPr>
              <w:adjustRightInd w:val="0"/>
              <w:snapToGrid w:val="0"/>
              <w:spacing w:line="400" w:lineRule="exact"/>
              <w:jc w:val="center"/>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bidi="ar-SA"/>
              </w:rPr>
              <w:t>25（其中住宅净密度≤22）</w:t>
            </w:r>
          </w:p>
        </w:tc>
        <w:tc>
          <w:tcPr>
            <w:tcW w:w="672" w:type="dxa"/>
            <w:vAlign w:val="center"/>
          </w:tcPr>
          <w:p>
            <w:pPr>
              <w:adjustRightInd w:val="0"/>
              <w:snapToGrid w:val="0"/>
              <w:spacing w:line="400" w:lineRule="exact"/>
              <w:jc w:val="center"/>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bidi="ar-SA"/>
              </w:rPr>
              <w:t>≤</w:t>
            </w:r>
            <w:r>
              <w:rPr>
                <w:rFonts w:hint="default" w:ascii="Times New Roman" w:hAnsi="Times New Roman" w:eastAsia="仿宋_GB2312" w:cs="Times New Roman"/>
                <w:szCs w:val="21"/>
                <w:lang w:val="en-US" w:eastAsia="zh-CN" w:bidi="ar-SA"/>
              </w:rPr>
              <w:t>3.1</w:t>
            </w:r>
          </w:p>
        </w:tc>
        <w:tc>
          <w:tcPr>
            <w:tcW w:w="1650" w:type="dxa"/>
            <w:vAlign w:val="center"/>
          </w:tcPr>
          <w:p>
            <w:pPr>
              <w:adjustRightInd w:val="0"/>
              <w:snapToGrid w:val="0"/>
              <w:spacing w:line="400" w:lineRule="exact"/>
              <w:jc w:val="center"/>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bidi="ar-SA"/>
              </w:rPr>
              <w:t>≤28504</w:t>
            </w:r>
            <w:r>
              <w:rPr>
                <w:rFonts w:hint="default" w:ascii="Times New Roman" w:hAnsi="Times New Roman" w:eastAsia="仿宋_GB2312" w:cs="Times New Roman"/>
                <w:szCs w:val="21"/>
                <w:lang w:val="en-US" w:eastAsia="zh-CN" w:bidi="ar-SA"/>
              </w:rPr>
              <w:t>（其中商业建筑面积的比例≤5%，配套设施建筑面积＞1345 ）</w:t>
            </w:r>
          </w:p>
        </w:tc>
        <w:tc>
          <w:tcPr>
            <w:tcW w:w="1087" w:type="dxa"/>
            <w:vAlign w:val="center"/>
          </w:tcPr>
          <w:p>
            <w:pPr>
              <w:adjustRightInd w:val="0"/>
              <w:snapToGrid w:val="0"/>
              <w:spacing w:line="400" w:lineRule="exact"/>
              <w:jc w:val="center"/>
              <w:rPr>
                <w:rFonts w:hint="default" w:ascii="仿宋_GB2312" w:hAnsi="Times New Roman" w:eastAsia="仿宋_GB2312" w:cs="Times New Roman"/>
                <w:szCs w:val="21"/>
                <w:highlight w:val="none"/>
                <w:lang w:val="en-US" w:eastAsia="zh-CN"/>
              </w:rPr>
            </w:pPr>
            <w:r>
              <w:rPr>
                <w:rFonts w:hint="default" w:ascii="Times New Roman" w:hAnsi="Times New Roman" w:eastAsia="仿宋_GB2312" w:cs="Times New Roman"/>
                <w:szCs w:val="21"/>
                <w:lang w:val="en-US" w:eastAsia="zh-CN" w:bidi="ar-SA"/>
              </w:rPr>
              <w:t>每100㎡计容积率建筑面积≥1个</w:t>
            </w:r>
          </w:p>
        </w:tc>
        <w:tc>
          <w:tcPr>
            <w:tcW w:w="900"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eastAsia="zh-CN"/>
              </w:rPr>
              <w:t>≥</w:t>
            </w:r>
            <w:r>
              <w:rPr>
                <w:rFonts w:hint="eastAsia" w:ascii="仿宋_GB2312" w:hAnsi="Times New Roman" w:eastAsia="仿宋_GB2312" w:cs="Times New Roman"/>
                <w:szCs w:val="21"/>
                <w:highlight w:val="none"/>
                <w:lang w:val="en-US" w:eastAsia="zh-CN"/>
              </w:rPr>
              <w:t>30</w:t>
            </w:r>
          </w:p>
        </w:tc>
        <w:tc>
          <w:tcPr>
            <w:tcW w:w="979" w:type="dxa"/>
            <w:vAlign w:val="center"/>
          </w:tcPr>
          <w:p>
            <w:pPr>
              <w:ind w:left="0" w:leftChars="-51" w:right="-118" w:rightChars="-56" w:hanging="107" w:hangingChars="51"/>
              <w:jc w:val="center"/>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color w:val="000000"/>
                <w:szCs w:val="21"/>
                <w:lang w:bidi="ar-SA"/>
              </w:rPr>
              <w:t>住宅、商业及配套设施</w:t>
            </w:r>
          </w:p>
        </w:tc>
        <w:tc>
          <w:tcPr>
            <w:tcW w:w="670" w:type="dxa"/>
            <w:vAlign w:val="center"/>
          </w:tcPr>
          <w:p>
            <w:pPr>
              <w:ind w:left="0" w:leftChars="-51" w:right="-118" w:rightChars="-56" w:hanging="107" w:hangingChars="51"/>
              <w:jc w:val="center"/>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color w:val="000000"/>
                <w:szCs w:val="21"/>
                <w:lang w:eastAsia="zh-CN" w:bidi="ar-SA"/>
              </w:rPr>
              <w:t>住宅用地</w:t>
            </w:r>
            <w:r>
              <w:rPr>
                <w:rFonts w:hint="default" w:ascii="Times New Roman" w:hAnsi="Times New Roman" w:eastAsia="仿宋_GB2312" w:cs="Times New Roman"/>
                <w:color w:val="000000"/>
                <w:szCs w:val="21"/>
                <w:lang w:val="en-US" w:eastAsia="zh-CN" w:bidi="ar-SA"/>
              </w:rPr>
              <w:t>70</w:t>
            </w:r>
            <w:r>
              <w:rPr>
                <w:rFonts w:hint="default" w:ascii="Times New Roman" w:hAnsi="Times New Roman" w:eastAsia="仿宋_GB2312" w:cs="Times New Roman"/>
                <w:color w:val="000000"/>
                <w:szCs w:val="21"/>
                <w:lang w:bidi="ar-SA"/>
              </w:rPr>
              <w:t>、商服用地40</w:t>
            </w:r>
          </w:p>
        </w:tc>
      </w:tr>
    </w:tbl>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3887649"/>
    <w:rsid w:val="045C3FD8"/>
    <w:rsid w:val="046368B3"/>
    <w:rsid w:val="047C6F5A"/>
    <w:rsid w:val="069C76D6"/>
    <w:rsid w:val="07386886"/>
    <w:rsid w:val="07895069"/>
    <w:rsid w:val="082B1937"/>
    <w:rsid w:val="09B41FDD"/>
    <w:rsid w:val="0B445C0C"/>
    <w:rsid w:val="0D167AC3"/>
    <w:rsid w:val="0D430223"/>
    <w:rsid w:val="0DF23899"/>
    <w:rsid w:val="0E7A65F6"/>
    <w:rsid w:val="101D3BC2"/>
    <w:rsid w:val="10BD4DFA"/>
    <w:rsid w:val="137618AF"/>
    <w:rsid w:val="13D50F1B"/>
    <w:rsid w:val="161D2710"/>
    <w:rsid w:val="167673A1"/>
    <w:rsid w:val="16AA6FD1"/>
    <w:rsid w:val="16D56AAC"/>
    <w:rsid w:val="17AA0480"/>
    <w:rsid w:val="17D36568"/>
    <w:rsid w:val="188D227F"/>
    <w:rsid w:val="192F711A"/>
    <w:rsid w:val="1A0B2C56"/>
    <w:rsid w:val="1AA5305E"/>
    <w:rsid w:val="1ADB0E54"/>
    <w:rsid w:val="1C5904D7"/>
    <w:rsid w:val="1D7069CD"/>
    <w:rsid w:val="1DE30B94"/>
    <w:rsid w:val="1E862B6D"/>
    <w:rsid w:val="1F7C2358"/>
    <w:rsid w:val="1FB07F91"/>
    <w:rsid w:val="20ED2229"/>
    <w:rsid w:val="22890C8D"/>
    <w:rsid w:val="23A027B1"/>
    <w:rsid w:val="25251515"/>
    <w:rsid w:val="27A65DB8"/>
    <w:rsid w:val="28774868"/>
    <w:rsid w:val="28E62DF1"/>
    <w:rsid w:val="2A6B42FA"/>
    <w:rsid w:val="2A870225"/>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9262B8E"/>
    <w:rsid w:val="3C13026D"/>
    <w:rsid w:val="3C8078D7"/>
    <w:rsid w:val="3DDC60B5"/>
    <w:rsid w:val="40231E47"/>
    <w:rsid w:val="40363F40"/>
    <w:rsid w:val="409256E4"/>
    <w:rsid w:val="40B33D72"/>
    <w:rsid w:val="411B39E1"/>
    <w:rsid w:val="42CE6157"/>
    <w:rsid w:val="43706132"/>
    <w:rsid w:val="44966F93"/>
    <w:rsid w:val="45C047BF"/>
    <w:rsid w:val="4A1228DB"/>
    <w:rsid w:val="4A1B1ECC"/>
    <w:rsid w:val="4AE74DD0"/>
    <w:rsid w:val="4C2E14D5"/>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3AA2C72"/>
    <w:rsid w:val="64D925C4"/>
    <w:rsid w:val="64E467ED"/>
    <w:rsid w:val="65651799"/>
    <w:rsid w:val="68527CA2"/>
    <w:rsid w:val="692A6240"/>
    <w:rsid w:val="6EB83079"/>
    <w:rsid w:val="6F4B3B48"/>
    <w:rsid w:val="6FF0551C"/>
    <w:rsid w:val="700A52E4"/>
    <w:rsid w:val="727D44B4"/>
    <w:rsid w:val="728D40FC"/>
    <w:rsid w:val="736D1677"/>
    <w:rsid w:val="73BE7EBD"/>
    <w:rsid w:val="73F22758"/>
    <w:rsid w:val="748840AA"/>
    <w:rsid w:val="761352C3"/>
    <w:rsid w:val="77DD303C"/>
    <w:rsid w:val="782A0826"/>
    <w:rsid w:val="787C1591"/>
    <w:rsid w:val="79E82C45"/>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2021-09-16T02:54:00Z</cp:lastPrinted>
  <dcterms:modified xsi:type="dcterms:W3CDTF">2021-09-16T11:17:20Z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