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hAnsi="华文中宋" w:eastAsia="方正小标宋_GBK"/>
          <w:b/>
          <w:bCs/>
          <w:spacing w:val="3"/>
          <w:sz w:val="44"/>
          <w:szCs w:val="44"/>
          <w:highlight w:val="none"/>
        </w:rPr>
      </w:pPr>
    </w:p>
    <w:p>
      <w:pPr>
        <w:keepNext w:val="0"/>
        <w:keepLines w:val="0"/>
        <w:pageBreakBefore w:val="0"/>
        <w:widowControl w:val="0"/>
        <w:tabs>
          <w:tab w:val="left" w:pos="11340"/>
        </w:tabs>
        <w:kinsoku/>
        <w:wordWrap/>
        <w:overflowPunct/>
        <w:topLinePunct w:val="0"/>
        <w:bidi w:val="0"/>
        <w:spacing w:line="560" w:lineRule="exact"/>
        <w:textAlignment w:val="auto"/>
        <w:rPr>
          <w:rFonts w:hint="eastAsia" w:ascii="方正小标宋_GBK" w:eastAsia="方正小标宋_GBK"/>
          <w:b/>
          <w:bCs/>
          <w:spacing w:val="3"/>
          <w:sz w:val="48"/>
          <w:highlight w:val="none"/>
        </w:rPr>
      </w:pPr>
      <w:r>
        <w:rPr>
          <w:rFonts w:hint="eastAsia" w:ascii="方正小标宋_GBK" w:hAnsi="华文中宋" w:eastAsia="方正小标宋_GBK"/>
          <w:b/>
          <w:bCs/>
          <w:spacing w:val="3"/>
          <w:sz w:val="44"/>
          <w:szCs w:val="44"/>
          <w:highlight w:val="none"/>
        </w:rPr>
        <w:t>惠州市国有建设用地使用权网上挂牌</w:t>
      </w:r>
      <w:r>
        <w:rPr>
          <w:rFonts w:hint="eastAsia" w:ascii="方正小标宋_GBK" w:hAnsi="华文中宋" w:eastAsia="方正小标宋_GBK"/>
          <w:b/>
          <w:bCs/>
          <w:sz w:val="44"/>
          <w:szCs w:val="44"/>
          <w:highlight w:val="none"/>
        </w:rPr>
        <w:t>出让公告</w:t>
      </w:r>
    </w:p>
    <w:p>
      <w:pPr>
        <w:keepNext w:val="0"/>
        <w:keepLines w:val="0"/>
        <w:pageBreakBefore w:val="0"/>
        <w:widowControl w:val="0"/>
        <w:kinsoku/>
        <w:wordWrap/>
        <w:overflowPunct/>
        <w:topLinePunct w:val="0"/>
        <w:bidi w:val="0"/>
        <w:spacing w:line="560" w:lineRule="exact"/>
        <w:ind w:firstLine="640" w:firstLineChars="200"/>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048</w:t>
      </w:r>
      <w:r>
        <w:rPr>
          <w:rFonts w:hint="eastAsia" w:ascii="仿宋_GB2312" w:hAnsi="仿宋_GB2312" w:eastAsia="仿宋_GB2312" w:cs="仿宋_GB2312"/>
          <w:sz w:val="32"/>
          <w:szCs w:val="32"/>
          <w:highlight w:val="none"/>
        </w:rPr>
        <w:t>号</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highlight w:val="none"/>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根据《招标拍卖挂牌出让国有建设用地使用权规定》（国土资源部令 第39号）和《广东省土地使用权交易市场管理规定》（广东省人民政府令 第79号）的规定，经惠州市人民政府批准，惠州市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二、网上挂牌竞买时间为</w:t>
      </w:r>
      <w:r>
        <w:rPr>
          <w:rFonts w:hint="eastAsia" w:ascii="仿宋_GB2312" w:hAnsi="仿宋_GB2312" w:eastAsia="仿宋_GB2312" w:cs="仿宋_GB2312"/>
          <w:sz w:val="32"/>
          <w:szCs w:val="32"/>
          <w:highlight w:val="none"/>
          <w:lang w:val="en-US" w:eastAsia="zh-CN"/>
        </w:rPr>
        <w:t>2021年11月29日9</w:t>
      </w:r>
      <w:r>
        <w:rPr>
          <w:rFonts w:hint="eastAsia" w:ascii="仿宋_GB2312" w:hAnsi="仿宋_GB2312" w:eastAsia="仿宋_GB2312" w:cs="仿宋_GB2312"/>
          <w:sz w:val="32"/>
          <w:szCs w:val="32"/>
          <w:highlight w:val="none"/>
        </w:rPr>
        <w:t>时至</w:t>
      </w:r>
      <w:r>
        <w:rPr>
          <w:rFonts w:hint="eastAsia" w:ascii="仿宋_GB2312" w:hAnsi="仿宋_GB2312" w:eastAsia="仿宋_GB2312" w:cs="仿宋_GB2312"/>
          <w:sz w:val="32"/>
          <w:szCs w:val="32"/>
          <w:highlight w:val="none"/>
          <w:lang w:val="en-US" w:eastAsia="zh-CN"/>
        </w:rPr>
        <w:t>2021年12月13日10</w:t>
      </w:r>
      <w:r>
        <w:rPr>
          <w:rFonts w:hint="eastAsia" w:ascii="仿宋_GB2312" w:hAnsi="仿宋_GB2312" w:eastAsia="仿宋_GB2312" w:cs="仿宋_GB2312"/>
          <w:sz w:val="32"/>
          <w:szCs w:val="32"/>
          <w:highlight w:val="none"/>
        </w:rPr>
        <w:t>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三、挂牌起始价为人民币800万元，每次报价加价幅度为人民币50万元的整数倍。</w:t>
      </w:r>
    </w:p>
    <w:p>
      <w:pPr>
        <w:pStyle w:val="3"/>
        <w:keepNext w:val="0"/>
        <w:keepLines w:val="0"/>
        <w:pageBreakBefore w:val="0"/>
        <w:widowControl w:val="0"/>
        <w:kinsoku/>
        <w:wordWrap/>
        <w:overflowPunct/>
        <w:topLinePunct w:val="0"/>
        <w:autoSpaceDE/>
        <w:autoSpaceDN/>
        <w:bidi w:val="0"/>
        <w:adjustRightInd w:val="0"/>
        <w:snapToGrid w:val="0"/>
        <w:spacing w:before="0"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四、中华人民共和国境内外的法人、自然人和其他组织（除法律法规另有规定外）均可申请参加竞买。申请人可以单独申请，也可以联合申请：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国有建设用地使用权出让合同》（以下简称《出让合同》），在竞得人按约定办理完新公司注册登记手续后，再与新公司签订国有建设用地使用权出让合同补充条款，也可按约定直接与新公司签订《出让合同》；</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仿宋_GB2312" w:eastAsia="仿宋_GB2312" w:cs="仿宋_GB2312"/>
          <w:szCs w:val="32"/>
          <w:highlight w:val="none"/>
          <w:lang w:val="en-US" w:eastAsia="zh-CN"/>
        </w:rPr>
      </w:pPr>
      <w:r>
        <w:rPr>
          <w:rFonts w:hint="eastAsia" w:ascii="仿宋_GB2312" w:hAnsi="仿宋_GB2312" w:eastAsia="仿宋_GB2312" w:cs="仿宋_GB2312"/>
          <w:sz w:val="32"/>
          <w:szCs w:val="32"/>
          <w:highlight w:val="none"/>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val="en-US" w:eastAsia="zh-CN"/>
        </w:rPr>
      </w:pPr>
      <w:r>
        <w:rPr>
          <w:rFonts w:hint="eastAsia" w:ascii="Times New Roman" w:hAnsi="Times New Roman" w:eastAsia="仿宋_GB2312" w:cs="Times New Roman"/>
          <w:kern w:val="2"/>
          <w:sz w:val="32"/>
          <w:szCs w:val="32"/>
          <w:highlight w:val="none"/>
          <w:lang w:val="en-US" w:eastAsia="zh-CN" w:bidi="ar-SA"/>
        </w:rPr>
        <w:t>五、该宗地竞买保证金可用人民币及外币（暂限于美元、港币）支付。</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rPr>
      </w:pPr>
      <w:r>
        <w:rPr>
          <w:rFonts w:hint="eastAsia" w:ascii="仿宋_GB2312" w:hAnsi="仿宋_GB2312" w:eastAsia="仿宋_GB2312" w:cs="仿宋_GB2312"/>
          <w:szCs w:val="32"/>
          <w:highlight w:val="none"/>
          <w:lang w:val="en-US" w:eastAsia="zh-CN"/>
        </w:rPr>
        <w:t>六</w:t>
      </w:r>
      <w:r>
        <w:rPr>
          <w:rFonts w:hint="eastAsia" w:ascii="仿宋_GB2312" w:hAnsi="仿宋_GB2312" w:eastAsia="仿宋_GB2312" w:cs="仿宋_GB2312"/>
          <w:szCs w:val="32"/>
          <w:highlight w:val="none"/>
        </w:rPr>
        <w:t>、申请人应具备的其他条件：</w:t>
      </w:r>
    </w:p>
    <w:p>
      <w:pPr>
        <w:pStyle w:val="3"/>
        <w:keepNext w:val="0"/>
        <w:keepLines w:val="0"/>
        <w:pageBreakBefore w:val="0"/>
        <w:widowControl w:val="0"/>
        <w:kinsoku/>
        <w:wordWrap/>
        <w:overflowPunct/>
        <w:topLinePunct w:val="0"/>
        <w:autoSpaceDE/>
        <w:autoSpaceDN/>
        <w:bidi w:val="0"/>
        <w:spacing w:before="0" w:line="640" w:lineRule="atLeast"/>
        <w:jc w:val="both"/>
        <w:textAlignment w:val="auto"/>
        <w:rPr>
          <w:rFonts w:hint="eastAsia" w:ascii="仿宋_GB2312" w:hAnsi="仿宋_GB2312" w:eastAsia="仿宋_GB2312" w:cs="仿宋_GB2312"/>
          <w:szCs w:val="32"/>
          <w:highlight w:val="none"/>
          <w:lang w:eastAsia="zh-CN"/>
        </w:rPr>
      </w:pPr>
      <w:r>
        <w:rPr>
          <w:rFonts w:hint="eastAsia" w:ascii="仿宋_GB2312" w:hAnsi="仿宋_GB2312" w:eastAsia="仿宋_GB2312" w:cs="仿宋_GB2312"/>
          <w:szCs w:val="32"/>
          <w:highlight w:val="none"/>
          <w:lang w:eastAsia="zh-CN"/>
        </w:rPr>
        <w:t>（</w:t>
      </w:r>
      <w:r>
        <w:rPr>
          <w:rFonts w:hint="eastAsia" w:ascii="仿宋_GB2312" w:hAnsi="仿宋_GB2312" w:eastAsia="仿宋_GB2312" w:cs="仿宋_GB2312"/>
          <w:szCs w:val="32"/>
          <w:highlight w:val="none"/>
          <w:lang w:val="en-US" w:eastAsia="zh-CN"/>
        </w:rPr>
        <w:t>一）缴交竞买保证金240万元人民币，如以外币缴交竞买保证金的，须缴交美元38万元或港币290万元</w:t>
      </w:r>
      <w:r>
        <w:rPr>
          <w:rFonts w:hint="eastAsia" w:ascii="仿宋_GB2312" w:hAnsi="仿宋_GB2312" w:eastAsia="仿宋_GB2312" w:cs="仿宋_GB2312"/>
          <w:szCs w:val="32"/>
          <w:highlight w:val="none"/>
        </w:rPr>
        <w:t>。</w:t>
      </w:r>
    </w:p>
    <w:p>
      <w:pPr>
        <w:keepNext w:val="0"/>
        <w:keepLines w:val="0"/>
        <w:pageBreakBefore w:val="0"/>
        <w:widowControl/>
        <w:kinsoku/>
        <w:wordWrap/>
        <w:overflowPunct/>
        <w:topLinePunct w:val="0"/>
        <w:autoSpaceDE/>
        <w:autoSpaceDN/>
        <w:bidi w:val="0"/>
        <w:spacing w:line="640" w:lineRule="atLeast"/>
        <w:ind w:firstLine="640" w:firstLineChars="200"/>
        <w:textAlignment w:val="auto"/>
        <w:rPr>
          <w:rFonts w:hint="eastAsia" w:ascii="仿宋_GB2312" w:hAnsi="仿宋_GB2312" w:eastAsia="仿宋_GB2312" w:cs="仿宋_GB2312"/>
          <w:kern w:val="2"/>
          <w:sz w:val="32"/>
          <w:szCs w:val="22"/>
          <w:highlight w:val="none"/>
          <w:lang w:val="en-US" w:eastAsia="zh-CN" w:bidi="ar-SA"/>
        </w:rPr>
      </w:pPr>
      <w:r>
        <w:rPr>
          <w:rFonts w:hint="eastAsia" w:ascii="仿宋_GB2312" w:hAnsi="仿宋_GB2312" w:eastAsia="仿宋_GB2312" w:cs="仿宋_GB2312"/>
          <w:kern w:val="2"/>
          <w:sz w:val="32"/>
          <w:szCs w:val="22"/>
          <w:highlight w:val="none"/>
          <w:lang w:val="en-US" w:eastAsia="zh-CN" w:bidi="ar-SA"/>
        </w:rPr>
        <w:t>（二）存在下列违法违规违约行为之一的企业及其控股股东，不得参与竞买上述地块：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1.存在伪造公文骗取用地和非法倒卖土地等犯罪行为的；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2.存在非法转让土地使用权等违法行为的；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3.因企业原因造成土地闲置一年以上且至报名日止未处罚完结的；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4.开发建设企业有违背出让合同约定条件开发利用土地情形且至报名日止未处罚完结的；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6.被列入问题楼盘开发企业黑名单的;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rPr>
        <w:t>、本次国有建设用地使用权网上挂牌出让，按照价高者得的原则确定竞得人。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、本次网上挂牌出让的详细资料和具体要求，见惠州市公共资源交易中心土地与矿业网上挂牌交易系统（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、申请人应当在网上挂牌出让结束前</w:t>
      </w:r>
      <w:r>
        <w:rPr>
          <w:rFonts w:hint="eastAsia" w:ascii="仿宋_GB2312" w:hAnsi="仿宋_GB2312" w:eastAsia="仿宋_GB2312" w:cs="仿宋_GB2312"/>
          <w:sz w:val="32"/>
          <w:szCs w:val="32"/>
          <w:highlight w:val="none"/>
          <w:lang w:val="en-US" w:eastAsia="zh-CN"/>
        </w:rPr>
        <w:t>登录</w:t>
      </w:r>
      <w:r>
        <w:rPr>
          <w:rFonts w:hint="eastAsia" w:ascii="仿宋_GB2312" w:hAnsi="仿宋_GB2312" w:eastAsia="仿宋_GB2312" w:cs="仿宋_GB2312"/>
          <w:sz w:val="32"/>
          <w:szCs w:val="32"/>
          <w:highlight w:val="none"/>
        </w:rPr>
        <w:t>惠州市公共资源交易中心土地与矿业网上挂牌交易系统并在系统上向惠州市公共资源交易中心提交竞买申请并支付保证金。网上挂牌保证金到账截止时间为2021年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日上午9时止。网上挂牌报价时间截止时，经系统询问，有竞买人表示愿意继续竞价的，系统自动进入网上限时竞价程序，通过竞价确定竞得人</w:t>
      </w:r>
      <w:r>
        <w:rPr>
          <w:rFonts w:hint="eastAsia" w:ascii="仿宋_GB2312" w:hAnsi="仿宋_GB2312" w:eastAsia="仿宋_GB2312" w:cs="仿宋_GB2312"/>
          <w:sz w:val="32"/>
          <w:szCs w:val="32"/>
          <w:highlight w:val="none"/>
          <w:lang w:bidi="ar-SA"/>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sz w:val="32"/>
          <w:szCs w:val="32"/>
          <w:highlight w:val="none"/>
          <w:lang w:val="en-US" w:eastAsia="zh-CN"/>
        </w:rPr>
        <w:t>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w:t>
      </w:r>
      <w:r>
        <w:rPr>
          <w:rFonts w:hint="eastAsia" w:ascii="仿宋_GB2312" w:hAnsi="仿宋_GB2312" w:eastAsia="仿宋_GB2312" w:cs="仿宋_GB2312"/>
          <w:sz w:val="32"/>
          <w:szCs w:val="32"/>
          <w:highlight w:val="none"/>
        </w:rPr>
        <w:t>余额转作土地成交价款。</w:t>
      </w:r>
    </w:p>
    <w:p>
      <w:pPr>
        <w:keepNext w:val="0"/>
        <w:keepLines w:val="0"/>
        <w:pageBreakBefore w:val="0"/>
        <w:kinsoku/>
        <w:wordWrap/>
        <w:overflowPunct/>
        <w:topLinePunct w:val="0"/>
        <w:bidi w:val="0"/>
        <w:spacing w:line="560" w:lineRule="exac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以外币缴交竞买保证金的，扣除定金后余额部分返回给竞得人，待竞得人按时缴清土地成交价款后，再将定金退还，不计利息。</w:t>
      </w:r>
    </w:p>
    <w:p>
      <w:pPr>
        <w:keepNext w:val="0"/>
        <w:keepLines w:val="0"/>
        <w:pageBreakBefore w:val="0"/>
        <w:kinsoku/>
        <w:wordWrap/>
        <w:overflowPunct/>
        <w:topLinePunct w:val="0"/>
        <w:autoSpaceDE/>
        <w:autoSpaceDN/>
        <w:bidi w:val="0"/>
        <w:spacing w:line="640" w:lineRule="atLeast"/>
        <w:ind w:firstLine="55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（一）开发投资总额不少于2480万元（含地价，不含地价溢价部分）。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（三）竞得人在用地红线内开发建设必须符合城市规划要求，必须按《建设用地规划设计条件》（案卷编号：PB20210058）规划控制指标要求及有关规定进行规划设计；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（四）竞得人须按《建设用地规划设计条件》（案卷编号：PB20210058）要求配建相关配套设施；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（五）土地成交价款须以人民币支付，竞得人须在签订《出让合同》之日起一个月内缴清土地成交价款。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（六）该宗地权利清晰，安置补偿落实到位，没有法律经济纠纷，具备动工开发所必须的基本条件。地上现状有钢结构机械式临时停车场，竞得人可继续使用或拆除重建。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）竞得人有下列行为之一的，取消竞得人资格，竞买保证金不予退还，并由有关部门依法处理；造成损失的，竞得人还应依法承担赔偿责任：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八</w:t>
      </w:r>
      <w:r>
        <w:rPr>
          <w:rFonts w:hint="eastAsia" w:ascii="仿宋_GB2312" w:hAnsi="仿宋_GB2312" w:eastAsia="仿宋_GB2312" w:cs="仿宋_GB2312"/>
          <w:color w:val="auto"/>
          <w:sz w:val="32"/>
          <w:szCs w:val="32"/>
          <w:highlight w:val="none"/>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十</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（一）</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rPr>
        <w:t>地址：</w:t>
      </w:r>
      <w:r>
        <w:rPr>
          <w:rFonts w:hint="eastAsia" w:ascii="仿宋_GB2312" w:hAnsi="仿宋_GB2312" w:eastAsia="仿宋_GB2312" w:cs="仿宋_GB2312"/>
          <w:sz w:val="32"/>
          <w:szCs w:val="32"/>
          <w:highlight w:val="none"/>
        </w:rPr>
        <w:t>惠州市江北三新南路7号</w:t>
      </w:r>
    </w:p>
    <w:p>
      <w:pPr>
        <w:spacing w:line="520" w:lineRule="exact"/>
        <w:ind w:right="64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联系人：王工</w:t>
      </w:r>
    </w:p>
    <w:p>
      <w:pPr>
        <w:spacing w:line="520" w:lineRule="exact"/>
        <w:ind w:right="640"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联系电话：（0752）289631</w:t>
      </w:r>
      <w:r>
        <w:rPr>
          <w:rFonts w:hint="eastAsia" w:ascii="仿宋_GB2312" w:hAnsi="仿宋_GB2312" w:eastAsia="仿宋_GB2312" w:cs="仿宋_GB2312"/>
          <w:color w:val="auto"/>
          <w:kern w:val="2"/>
          <w:sz w:val="32"/>
          <w:szCs w:val="32"/>
          <w:highlight w:val="none"/>
          <w:lang w:val="en-US" w:eastAsia="zh-CN" w:bidi="ar-SA"/>
        </w:rPr>
        <w:t>3</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联系地址：广东省惠州市</w:t>
      </w:r>
      <w:r>
        <w:rPr>
          <w:rFonts w:hint="eastAsia" w:ascii="仿宋_GB2312" w:hAnsi="仿宋_GB2312" w:eastAsia="仿宋_GB2312" w:cs="仿宋_GB2312"/>
          <w:sz w:val="32"/>
          <w:szCs w:val="32"/>
          <w:highlight w:val="none"/>
          <w:lang w:val="en-US" w:eastAsia="zh-CN"/>
        </w:rPr>
        <w:t>惠城区三新北路31号市民服务中心3号楼</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color w:val="auto"/>
          <w:kern w:val="2"/>
          <w:sz w:val="32"/>
          <w:szCs w:val="32"/>
          <w:highlight w:val="none"/>
          <w:lang w:val="en-US" w:eastAsia="zh-CN" w:bidi="ar-SA"/>
        </w:rPr>
        <w:t>袁小姐、杨小姐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w:t>
      </w:r>
      <w:r>
        <w:rPr>
          <w:rFonts w:hint="eastAsia" w:ascii="仿宋_GB2312" w:hAnsi="仿宋_GB2312" w:eastAsia="仿宋_GB2312" w:cs="仿宋_GB2312"/>
          <w:color w:val="auto"/>
          <w:kern w:val="2"/>
          <w:sz w:val="32"/>
          <w:szCs w:val="32"/>
          <w:highlight w:val="none"/>
          <w:lang w:val="en-US" w:eastAsia="zh-CN" w:bidi="ar-SA"/>
        </w:rPr>
        <w:t>（0752）7121026、7121036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中国土地市场网: http://www.landchina.com</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惠州市自然资源局网站：http://land.huizhou.gov.cn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惠州市公共资源交易中心网：</w:t>
      </w: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"http://zyjy.huizhou.gov.cn"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rPr>
        <w:t>http://zyjy.huizhou.gov.cn</w:t>
      </w:r>
      <w:r>
        <w:rPr>
          <w:rFonts w:hint="eastAsia" w:ascii="仿宋_GB2312" w:hAnsi="仿宋_GB2312" w:eastAsia="仿宋_GB2312" w:cs="仿宋_GB2312"/>
          <w:sz w:val="32"/>
          <w:szCs w:val="32"/>
          <w:highlight w:val="none"/>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惠州市公共资源交易中心交易大厅现场。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696969"/>
          <w:sz w:val="32"/>
          <w:szCs w:val="32"/>
          <w:highlight w:val="none"/>
        </w:rPr>
      </w:pPr>
      <w:r>
        <w:rPr>
          <w:rFonts w:hint="eastAsia" w:ascii="仿宋_GB2312" w:hAnsi="仿宋_GB2312" w:eastAsia="仿宋_GB2312" w:cs="仿宋_GB2312"/>
          <w:sz w:val="32"/>
          <w:szCs w:val="32"/>
          <w:highlight w:val="none"/>
        </w:rPr>
        <w:t>数字证书办理地址：广东省惠州市惠城区三新北路31号市民服务中心3号楼惠州市公共资源交易中心一楼大厅1号土地与矿业交易窗口</w:t>
      </w:r>
      <w:r>
        <w:rPr>
          <w:rFonts w:hint="eastAsia" w:ascii="仿宋_GB2312" w:hAnsi="仿宋_GB2312" w:eastAsia="仿宋_GB2312" w:cs="仿宋_GB2312"/>
          <w:color w:val="00000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联系人：</w:t>
      </w:r>
      <w:r>
        <w:rPr>
          <w:rFonts w:hint="eastAsia" w:ascii="仿宋_GB2312" w:hAnsi="仿宋_GB2312" w:eastAsia="仿宋_GB2312" w:cs="仿宋_GB2312"/>
          <w:sz w:val="32"/>
          <w:szCs w:val="32"/>
          <w:highlight w:val="none"/>
          <w:lang w:val="en-US" w:eastAsia="zh-CN"/>
        </w:rPr>
        <w:t>罗工</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联系电话：0752-7121029</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惠州市自然资源局</w:t>
      </w: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惠州市公共资源交易中心</w:t>
      </w:r>
    </w:p>
    <w:p>
      <w:pPr>
        <w:keepNext w:val="0"/>
        <w:keepLines w:val="0"/>
        <w:pageBreakBefore w:val="0"/>
        <w:widowControl w:val="0"/>
        <w:kinsoku/>
        <w:wordWrap/>
        <w:overflowPunct/>
        <w:topLinePunct w:val="0"/>
        <w:bidi w:val="0"/>
        <w:spacing w:line="560" w:lineRule="exact"/>
        <w:ind w:firstLine="5120" w:firstLineChars="1600"/>
        <w:jc w:val="both"/>
        <w:textAlignment w:val="auto"/>
        <w:rPr>
          <w:rFonts w:hint="eastAsia" w:ascii="仿宋_GB2312" w:hAnsi="仿宋_GB2312" w:eastAsia="仿宋_GB2312" w:cs="仿宋_GB2312"/>
          <w:sz w:val="32"/>
          <w:szCs w:val="32"/>
          <w:highlight w:val="none"/>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color w:val="auto"/>
          <w:kern w:val="2"/>
          <w:sz w:val="32"/>
          <w:szCs w:val="32"/>
          <w:highlight w:val="none"/>
          <w:lang w:val="en-US" w:eastAsia="zh-CN" w:bidi="ar-SA"/>
        </w:rPr>
        <w:t>2021年11月8日</w:t>
      </w:r>
    </w:p>
    <w:p>
      <w:pPr>
        <w:spacing w:line="360" w:lineRule="auto"/>
        <w:rPr>
          <w:rFonts w:hint="default" w:ascii="Times New Roman" w:hAnsi="Times New Roman" w:eastAsia="仿宋_GB2312" w:cs="Times New Roman"/>
          <w:sz w:val="32"/>
          <w:szCs w:val="32"/>
          <w:highlight w:val="none"/>
        </w:rPr>
      </w:pPr>
      <w:r>
        <w:rPr>
          <w:rFonts w:hint="default" w:ascii="Times New Roman" w:hAnsi="Times New Roman" w:eastAsia="黑体" w:cs="Times New Roman"/>
          <w:sz w:val="32"/>
          <w:szCs w:val="32"/>
          <w:highlight w:val="none"/>
        </w:rPr>
        <w:t>附表</w:t>
      </w:r>
    </w:p>
    <w:p>
      <w:pPr>
        <w:tabs>
          <w:tab w:val="left" w:pos="9720"/>
        </w:tabs>
        <w:spacing w:line="360" w:lineRule="auto"/>
        <w:jc w:val="center"/>
        <w:rPr>
          <w:rFonts w:hint="default" w:ascii="Times New Roman" w:hAnsi="Times New Roman" w:eastAsia="方正小标宋_GBK" w:cs="Times New Roman"/>
          <w:b/>
          <w:sz w:val="36"/>
          <w:szCs w:val="36"/>
          <w:highlight w:val="none"/>
        </w:rPr>
      </w:pPr>
      <w:r>
        <w:rPr>
          <w:rFonts w:hint="default" w:ascii="Times New Roman" w:hAnsi="Times New Roman" w:eastAsia="方正小标宋_GBK" w:cs="Times New Roman"/>
          <w:b/>
          <w:sz w:val="36"/>
          <w:szCs w:val="36"/>
          <w:highlight w:val="none"/>
        </w:rPr>
        <w:t>网上挂牌出让地块规划建设指标</w:t>
      </w:r>
    </w:p>
    <w:tbl>
      <w:tblPr>
        <w:tblStyle w:val="9"/>
        <w:tblW w:w="100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38"/>
        <w:gridCol w:w="507"/>
        <w:gridCol w:w="543"/>
        <w:gridCol w:w="960"/>
        <w:gridCol w:w="960"/>
        <w:gridCol w:w="825"/>
        <w:gridCol w:w="1005"/>
        <w:gridCol w:w="720"/>
        <w:gridCol w:w="510"/>
        <w:gridCol w:w="765"/>
        <w:gridCol w:w="717"/>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817"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挂牌地块编号</w:t>
            </w:r>
          </w:p>
        </w:tc>
        <w:tc>
          <w:tcPr>
            <w:tcW w:w="738" w:type="dxa"/>
            <w:vMerge w:val="restart"/>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位置</w:t>
            </w:r>
          </w:p>
        </w:tc>
        <w:tc>
          <w:tcPr>
            <w:tcW w:w="507"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eastAsia" w:ascii="Times New Roman" w:hAnsi="Times New Roman" w:eastAsia="仿宋_GB2312" w:cs="Times New Roman"/>
                <w:b/>
                <w:bCs/>
                <w:szCs w:val="21"/>
                <w:lang w:eastAsia="zh-CN"/>
              </w:rPr>
              <w:t>用地</w:t>
            </w:r>
            <w:r>
              <w:rPr>
                <w:rFonts w:hint="default" w:ascii="Times New Roman" w:hAnsi="Times New Roman" w:eastAsia="仿宋_GB2312" w:cs="Times New Roman"/>
                <w:b/>
                <w:bCs/>
                <w:szCs w:val="21"/>
              </w:rPr>
              <w:t>编号</w:t>
            </w:r>
          </w:p>
        </w:tc>
        <w:tc>
          <w:tcPr>
            <w:tcW w:w="543" w:type="dxa"/>
            <w:vMerge w:val="restart"/>
            <w:vAlign w:val="center"/>
          </w:tcPr>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土地</w:t>
            </w:r>
          </w:p>
          <w:p>
            <w:pPr>
              <w:adjustRightInd w:val="0"/>
              <w:snapToGrid w:val="0"/>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用途</w:t>
            </w:r>
          </w:p>
        </w:tc>
        <w:tc>
          <w:tcPr>
            <w:tcW w:w="6462" w:type="dxa"/>
            <w:gridSpan w:val="8"/>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规划指标要求</w:t>
            </w:r>
          </w:p>
        </w:tc>
        <w:tc>
          <w:tcPr>
            <w:tcW w:w="948" w:type="dxa"/>
            <w:vMerge w:val="restart"/>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出让</w:t>
            </w:r>
          </w:p>
          <w:p>
            <w:pPr>
              <w:adjustRightInd w:val="0"/>
              <w:snapToGrid w:val="0"/>
              <w:spacing w:line="32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szCs w:val="21"/>
              </w:rPr>
              <w:t>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3" w:hRule="atLeast"/>
          <w:jc w:val="center"/>
        </w:trPr>
        <w:tc>
          <w:tcPr>
            <w:tcW w:w="817"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73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507"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543"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c>
          <w:tcPr>
            <w:tcW w:w="960" w:type="dxa"/>
            <w:vAlign w:val="center"/>
          </w:tcPr>
          <w:p>
            <w:pPr>
              <w:spacing w:line="320" w:lineRule="exact"/>
              <w:jc w:val="center"/>
              <w:rPr>
                <w:rFonts w:hint="default" w:ascii="Times New Roman" w:hAnsi="Times New Roman" w:eastAsia="仿宋_GB2312" w:cs="Times New Roman"/>
                <w:b/>
                <w:bCs/>
              </w:rPr>
            </w:pPr>
            <w:r>
              <w:rPr>
                <w:rFonts w:hint="default" w:ascii="Times New Roman" w:hAnsi="Times New Roman" w:eastAsia="仿宋_GB2312" w:cs="Times New Roman"/>
                <w:b/>
                <w:bCs/>
              </w:rPr>
              <w:t>计算指标用地面积（㎡）</w:t>
            </w:r>
          </w:p>
        </w:tc>
        <w:tc>
          <w:tcPr>
            <w:tcW w:w="960"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宗地使用权面积（㎡）</w:t>
            </w:r>
          </w:p>
        </w:tc>
        <w:tc>
          <w:tcPr>
            <w:tcW w:w="825" w:type="dxa"/>
            <w:vAlign w:val="center"/>
          </w:tcPr>
          <w:p>
            <w:pPr>
              <w:spacing w:line="320" w:lineRule="exact"/>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容积率</w:t>
            </w:r>
          </w:p>
        </w:tc>
        <w:tc>
          <w:tcPr>
            <w:tcW w:w="1005"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计容积率建筑面积（</w:t>
            </w:r>
            <w:r>
              <w:rPr>
                <w:rFonts w:hint="default" w:ascii="Times New Roman" w:hAnsi="Times New Roman" w:cs="Times New Roman"/>
                <w:b/>
                <w:bCs/>
                <w:szCs w:val="21"/>
              </w:rPr>
              <w:t>㎡</w:t>
            </w:r>
            <w:r>
              <w:rPr>
                <w:rFonts w:hint="default" w:ascii="Times New Roman" w:hAnsi="Times New Roman" w:eastAsia="仿宋_GB2312" w:cs="Times New Roman"/>
                <w:b/>
                <w:bCs/>
                <w:szCs w:val="21"/>
              </w:rPr>
              <w:t>）</w:t>
            </w:r>
          </w:p>
        </w:tc>
        <w:tc>
          <w:tcPr>
            <w:tcW w:w="720"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lang w:val="en-US" w:eastAsia="zh-CN"/>
              </w:rPr>
            </w:pPr>
            <w:r>
              <w:rPr>
                <w:rFonts w:hint="eastAsia" w:eastAsia="仿宋_GB2312" w:cs="Times New Roman"/>
                <w:b/>
                <w:bCs/>
                <w:szCs w:val="21"/>
                <w:lang w:val="en-US" w:eastAsia="zh-CN"/>
              </w:rPr>
              <w:t>建筑密度（</w:t>
            </w:r>
            <w:r>
              <w:rPr>
                <w:rFonts w:hint="eastAsia" w:ascii="宋体" w:hAnsi="宋体" w:eastAsia="宋体" w:cs="宋体"/>
                <w:b/>
                <w:bCs/>
                <w:szCs w:val="21"/>
                <w:lang w:val="en-US" w:eastAsia="zh-CN"/>
              </w:rPr>
              <w:t>％</w:t>
            </w:r>
            <w:r>
              <w:rPr>
                <w:rFonts w:hint="eastAsia" w:eastAsia="仿宋_GB2312" w:cs="Times New Roman"/>
                <w:b/>
                <w:bCs/>
                <w:szCs w:val="21"/>
                <w:lang w:val="en-US" w:eastAsia="zh-CN"/>
              </w:rPr>
              <w:t>）</w:t>
            </w:r>
          </w:p>
        </w:tc>
        <w:tc>
          <w:tcPr>
            <w:tcW w:w="510" w:type="dxa"/>
            <w:vAlign w:val="center"/>
          </w:tcPr>
          <w:p>
            <w:pPr>
              <w:spacing w:line="320" w:lineRule="exact"/>
              <w:ind w:left="44" w:right="-53" w:rightChars="-25" w:hanging="44" w:hangingChars="21"/>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适建性</w:t>
            </w:r>
          </w:p>
        </w:tc>
        <w:tc>
          <w:tcPr>
            <w:tcW w:w="765" w:type="dxa"/>
            <w:vAlign w:val="center"/>
          </w:tcPr>
          <w:p>
            <w:pPr>
              <w:adjustRightInd w:val="0"/>
              <w:snapToGrid w:val="0"/>
              <w:spacing w:line="320" w:lineRule="exact"/>
              <w:ind w:left="-27" w:leftChars="-51" w:hanging="80" w:hangingChars="38"/>
              <w:jc w:val="center"/>
              <w:rPr>
                <w:rFonts w:hint="default" w:ascii="Times New Roman" w:hAnsi="Times New Roman" w:eastAsia="仿宋_GB2312" w:cs="Times New Roman"/>
                <w:b/>
                <w:bCs/>
              </w:rPr>
            </w:pPr>
            <w:r>
              <w:rPr>
                <w:rFonts w:hint="eastAsia" w:eastAsia="仿宋_GB2312" w:cs="Times New Roman"/>
                <w:b/>
                <w:bCs/>
                <w:lang w:val="en-US" w:eastAsia="zh-CN"/>
              </w:rPr>
              <w:t xml:space="preserve"> </w:t>
            </w:r>
            <w:r>
              <w:rPr>
                <w:rFonts w:hint="default" w:ascii="Times New Roman" w:hAnsi="Times New Roman" w:eastAsia="仿宋_GB2312" w:cs="Times New Roman"/>
                <w:b/>
                <w:bCs/>
              </w:rPr>
              <w:t>机动车停车位（个）</w:t>
            </w:r>
          </w:p>
        </w:tc>
        <w:tc>
          <w:tcPr>
            <w:tcW w:w="717" w:type="dxa"/>
            <w:tcBorders>
              <w:top w:val="nil"/>
            </w:tcBorders>
            <w:vAlign w:val="center"/>
          </w:tcPr>
          <w:p>
            <w:pPr>
              <w:adjustRightInd w:val="0"/>
              <w:snapToGrid w:val="0"/>
              <w:spacing w:line="320" w:lineRule="exact"/>
              <w:jc w:val="center"/>
              <w:rPr>
                <w:rFonts w:hint="default" w:ascii="Times New Roman" w:hAnsi="Times New Roman" w:eastAsia="仿宋_GB2312" w:cs="Times New Roman"/>
                <w:b/>
                <w:bCs/>
                <w:szCs w:val="21"/>
                <w:lang w:val="en-US" w:eastAsia="zh-CN"/>
              </w:rPr>
            </w:pPr>
            <w:r>
              <w:rPr>
                <w:rFonts w:hint="eastAsia" w:eastAsia="仿宋_GB2312" w:cs="Times New Roman"/>
                <w:b/>
                <w:bCs/>
                <w:szCs w:val="21"/>
                <w:lang w:val="en-US" w:eastAsia="zh-CN"/>
              </w:rPr>
              <w:t>建筑限高（m）</w:t>
            </w:r>
          </w:p>
        </w:tc>
        <w:tc>
          <w:tcPr>
            <w:tcW w:w="948" w:type="dxa"/>
            <w:vMerge w:val="continue"/>
            <w:vAlign w:val="center"/>
          </w:tcPr>
          <w:p>
            <w:pPr>
              <w:adjustRightInd w:val="0"/>
              <w:snapToGrid w:val="0"/>
              <w:spacing w:line="320" w:lineRule="exact"/>
              <w:jc w:val="center"/>
              <w:rPr>
                <w:rFonts w:hint="default" w:ascii="Times New Roman" w:hAnsi="Times New Roman" w:eastAsia="仿宋_GB2312" w:cs="Times New Roman"/>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20" w:hRule="atLeast"/>
          <w:jc w:val="center"/>
        </w:trPr>
        <w:tc>
          <w:tcPr>
            <w:tcW w:w="817" w:type="dxa"/>
            <w:tcMar>
              <w:left w:w="0" w:type="dxa"/>
              <w:right w:w="0" w:type="dxa"/>
            </w:tcMar>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GP2021-48</w:t>
            </w:r>
            <w:bookmarkStart w:id="0" w:name="_GoBack"/>
            <w:bookmarkEnd w:id="0"/>
            <w:r>
              <w:rPr>
                <w:rFonts w:hint="eastAsia" w:ascii="仿宋_GB2312" w:hAnsi="仿宋_GB2312" w:eastAsia="仿宋_GB2312" w:cs="仿宋_GB2312"/>
                <w:color w:val="000000"/>
                <w:szCs w:val="21"/>
                <w:lang w:val="en-US" w:eastAsia="zh-CN" w:bidi="ar-SA"/>
              </w:rPr>
              <w:t xml:space="preserve">  </w:t>
            </w:r>
          </w:p>
        </w:tc>
        <w:tc>
          <w:tcPr>
            <w:tcW w:w="738" w:type="dxa"/>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惠州市惠城区江北片区JB26-1-1-1地块</w:t>
            </w:r>
          </w:p>
        </w:tc>
        <w:tc>
          <w:tcPr>
            <w:tcW w:w="507" w:type="dxa"/>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JB26-1-1-1</w:t>
            </w:r>
          </w:p>
        </w:tc>
        <w:tc>
          <w:tcPr>
            <w:tcW w:w="543" w:type="dxa"/>
            <w:tcMar>
              <w:left w:w="0" w:type="dxa"/>
              <w:right w:w="0" w:type="dxa"/>
            </w:tcMar>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交通服务场站用地</w:t>
            </w:r>
          </w:p>
        </w:tc>
        <w:tc>
          <w:tcPr>
            <w:tcW w:w="960" w:type="dxa"/>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2150.72</w:t>
            </w:r>
          </w:p>
        </w:tc>
        <w:tc>
          <w:tcPr>
            <w:tcW w:w="960" w:type="dxa"/>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1472.07</w:t>
            </w:r>
          </w:p>
        </w:tc>
        <w:tc>
          <w:tcPr>
            <w:tcW w:w="825" w:type="dxa"/>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≤2.5</w:t>
            </w:r>
          </w:p>
        </w:tc>
        <w:tc>
          <w:tcPr>
            <w:tcW w:w="1005" w:type="dxa"/>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lang w:val="en-US" w:eastAsia="zh-CN" w:bidi="ar-SA"/>
              </w:rPr>
              <w:t>≤5377</w:t>
            </w:r>
          </w:p>
        </w:tc>
        <w:tc>
          <w:tcPr>
            <w:tcW w:w="720" w:type="dxa"/>
            <w:vAlign w:val="center"/>
          </w:tcPr>
          <w:p>
            <w:pPr>
              <w:jc w:val="center"/>
              <w:rPr>
                <w:rFonts w:hint="eastAsia" w:ascii="仿宋_GB2312" w:hAnsi="仿宋_GB2312" w:eastAsia="仿宋_GB2312" w:cs="仿宋_GB2312"/>
                <w:color w:val="000000"/>
                <w:szCs w:val="21"/>
                <w:lang w:val="en-US" w:eastAsia="zh-CN" w:bidi="ar-SA"/>
              </w:rPr>
            </w:pPr>
            <w:r>
              <w:rPr>
                <w:rFonts w:hint="eastAsia" w:ascii="仿宋_GB2312" w:hAnsi="仿宋_GB2312" w:eastAsia="仿宋_GB2312" w:cs="仿宋_GB2312"/>
                <w:color w:val="000000"/>
                <w:szCs w:val="21"/>
                <w:highlight w:val="none"/>
                <w:lang w:val="en-US" w:eastAsia="zh-CN" w:bidi="ar-SA"/>
              </w:rPr>
              <w:t>≤4</w:t>
            </w:r>
            <w:r>
              <w:rPr>
                <w:rFonts w:hint="eastAsia" w:ascii="仿宋_GB2312" w:hAnsi="仿宋_GB2312" w:eastAsia="仿宋_GB2312" w:cs="仿宋_GB2312"/>
                <w:color w:val="000000"/>
                <w:szCs w:val="21"/>
                <w:lang w:val="en-US" w:eastAsia="zh-CN" w:bidi="ar-SA"/>
              </w:rPr>
              <w:t>5</w:t>
            </w:r>
          </w:p>
        </w:tc>
        <w:tc>
          <w:tcPr>
            <w:tcW w:w="510" w:type="dxa"/>
            <w:vAlign w:val="center"/>
          </w:tcPr>
          <w:p>
            <w:pPr>
              <w:jc w:val="center"/>
              <w:rPr>
                <w:rFonts w:hint="eastAsia" w:ascii="仿宋_GB2312" w:hAnsi="仿宋_GB2312" w:eastAsia="仿宋_GB2312" w:cs="仿宋_GB2312"/>
                <w:color w:val="000000"/>
                <w:szCs w:val="21"/>
                <w:highlight w:val="yellow"/>
                <w:lang w:val="en-US" w:eastAsia="zh-CN" w:bidi="ar-SA"/>
              </w:rPr>
            </w:pPr>
            <w:r>
              <w:rPr>
                <w:rFonts w:hint="eastAsia" w:ascii="仿宋_GB2312" w:hAnsi="仿宋_GB2312" w:eastAsia="仿宋_GB2312" w:cs="仿宋_GB2312"/>
                <w:color w:val="000000"/>
                <w:szCs w:val="21"/>
                <w:highlight w:val="none"/>
                <w:lang w:val="en-US" w:eastAsia="zh-CN" w:bidi="ar-SA"/>
              </w:rPr>
              <w:t>停车库及配套设施</w:t>
            </w:r>
          </w:p>
        </w:tc>
        <w:tc>
          <w:tcPr>
            <w:tcW w:w="765" w:type="dxa"/>
            <w:vAlign w:val="center"/>
          </w:tcPr>
          <w:p>
            <w:pPr>
              <w:jc w:val="center"/>
              <w:rPr>
                <w:rFonts w:hint="eastAsia" w:ascii="仿宋_GB2312" w:hAnsi="仿宋_GB2312" w:eastAsia="仿宋_GB2312" w:cs="仿宋_GB2312"/>
                <w:color w:val="000000"/>
                <w:szCs w:val="21"/>
                <w:highlight w:val="yellow"/>
                <w:lang w:val="en-US" w:eastAsia="zh-CN" w:bidi="ar-SA"/>
              </w:rPr>
            </w:pPr>
            <w:r>
              <w:rPr>
                <w:rFonts w:hint="eastAsia" w:ascii="仿宋_GB2312" w:hAnsi="仿宋_GB2312" w:eastAsia="仿宋_GB2312" w:cs="仿宋_GB2312"/>
                <w:color w:val="000000"/>
                <w:szCs w:val="21"/>
                <w:highlight w:val="none"/>
                <w:lang w:val="en-US" w:eastAsia="zh-CN" w:bidi="ar-SA"/>
              </w:rPr>
              <w:t>地上机械式立体停车位≥168</w:t>
            </w:r>
          </w:p>
        </w:tc>
        <w:tc>
          <w:tcPr>
            <w:tcW w:w="717" w:type="dxa"/>
            <w:vAlign w:val="center"/>
          </w:tcPr>
          <w:p>
            <w:pPr>
              <w:jc w:val="center"/>
              <w:rPr>
                <w:rFonts w:hint="eastAsia" w:ascii="仿宋_GB2312" w:hAnsi="仿宋_GB2312" w:eastAsia="仿宋_GB2312" w:cs="仿宋_GB2312"/>
                <w:color w:val="000000"/>
                <w:szCs w:val="21"/>
                <w:highlight w:val="none"/>
                <w:lang w:val="en-US" w:eastAsia="zh-CN" w:bidi="ar-SA"/>
              </w:rPr>
            </w:pPr>
            <w:r>
              <w:rPr>
                <w:rFonts w:hint="eastAsia" w:ascii="仿宋_GB2312" w:hAnsi="仿宋_GB2312" w:eastAsia="仿宋_GB2312" w:cs="仿宋_GB2312"/>
                <w:color w:val="000000"/>
                <w:szCs w:val="21"/>
                <w:highlight w:val="none"/>
                <w:lang w:val="en-US" w:eastAsia="zh-CN" w:bidi="ar-SA"/>
              </w:rPr>
              <w:t>≤24</w:t>
            </w:r>
          </w:p>
        </w:tc>
        <w:tc>
          <w:tcPr>
            <w:tcW w:w="948" w:type="dxa"/>
            <w:vAlign w:val="center"/>
          </w:tcPr>
          <w:p>
            <w:pPr>
              <w:jc w:val="center"/>
              <w:rPr>
                <w:rFonts w:hint="eastAsia" w:ascii="仿宋_GB2312" w:hAnsi="仿宋_GB2312" w:eastAsia="仿宋_GB2312" w:cs="仿宋_GB2312"/>
                <w:color w:val="000000"/>
                <w:szCs w:val="21"/>
                <w:highlight w:val="yellow"/>
                <w:lang w:val="en-US" w:eastAsia="zh-CN" w:bidi="ar-SA"/>
              </w:rPr>
            </w:pPr>
            <w:r>
              <w:rPr>
                <w:rFonts w:hint="eastAsia" w:ascii="仿宋_GB2312" w:hAnsi="仿宋_GB2312" w:eastAsia="仿宋_GB2312" w:cs="仿宋_GB2312"/>
                <w:color w:val="000000"/>
                <w:szCs w:val="21"/>
                <w:highlight w:val="none"/>
                <w:lang w:val="en-US" w:eastAsia="zh-CN" w:bidi="ar-SA"/>
              </w:rPr>
              <w:t>交通服务场站用地50年</w:t>
            </w:r>
          </w:p>
        </w:tc>
      </w:tr>
    </w:tbl>
    <w:p>
      <w:pPr>
        <w:tabs>
          <w:tab w:val="left" w:pos="11340"/>
        </w:tabs>
        <w:spacing w:line="600" w:lineRule="exact"/>
        <w:rPr>
          <w:rFonts w:hint="default" w:ascii="Times New Roman" w:hAnsi="Times New Roman" w:eastAsia="仿宋_GB2312" w:cs="Times New Roman"/>
          <w:sz w:val="32"/>
          <w:szCs w:val="32"/>
          <w:highlight w:val="none"/>
        </w:rPr>
      </w:pPr>
    </w:p>
    <w:p>
      <w:pPr>
        <w:rPr>
          <w:rFonts w:hint="default" w:ascii="Times New Roman" w:hAnsi="Times New Roman" w:cs="Times New Roman"/>
          <w:highlight w:val="none"/>
        </w:rPr>
      </w:pPr>
    </w:p>
    <w:p>
      <w:pPr>
        <w:spacing w:line="360" w:lineRule="auto"/>
        <w:rPr>
          <w:rFonts w:hint="default" w:ascii="Times New Roman" w:hAnsi="Times New Roman" w:eastAsia="黑体" w:cs="Times New Roman"/>
          <w:sz w:val="32"/>
          <w:szCs w:val="32"/>
          <w:highlight w:val="none"/>
        </w:rPr>
      </w:pPr>
    </w:p>
    <w:p>
      <w:pPr>
        <w:keepNext w:val="0"/>
        <w:keepLines w:val="0"/>
        <w:pageBreakBefore w:val="0"/>
        <w:widowControl w:val="0"/>
        <w:kinsoku/>
        <w:wordWrap/>
        <w:overflowPunct/>
        <w:topLinePunct w:val="0"/>
        <w:bidi w:val="0"/>
        <w:spacing w:line="560" w:lineRule="exact"/>
        <w:jc w:val="center"/>
        <w:textAlignment w:val="auto"/>
        <w:rPr>
          <w:rFonts w:hint="eastAsia" w:ascii="仿宋_GB2312" w:hAnsi="Times New Roman" w:eastAsia="仿宋_GB2312" w:cs="Times New Roman"/>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57061"/>
    <w:rsid w:val="015539EC"/>
    <w:rsid w:val="03036C7C"/>
    <w:rsid w:val="03043D1C"/>
    <w:rsid w:val="045C3FD8"/>
    <w:rsid w:val="046368B3"/>
    <w:rsid w:val="047C6F5A"/>
    <w:rsid w:val="04A705FC"/>
    <w:rsid w:val="05804BFF"/>
    <w:rsid w:val="069C76D6"/>
    <w:rsid w:val="07386886"/>
    <w:rsid w:val="07895069"/>
    <w:rsid w:val="07BE59A8"/>
    <w:rsid w:val="082B1937"/>
    <w:rsid w:val="09B41FDD"/>
    <w:rsid w:val="09EF4B5F"/>
    <w:rsid w:val="0B406DC0"/>
    <w:rsid w:val="0B78752F"/>
    <w:rsid w:val="0B7A084A"/>
    <w:rsid w:val="0D167AC3"/>
    <w:rsid w:val="0D430223"/>
    <w:rsid w:val="0DF23899"/>
    <w:rsid w:val="0E177AE2"/>
    <w:rsid w:val="0E5C0367"/>
    <w:rsid w:val="0E7A65F6"/>
    <w:rsid w:val="101D3BC2"/>
    <w:rsid w:val="10BD4DFA"/>
    <w:rsid w:val="137618AF"/>
    <w:rsid w:val="13D50F1B"/>
    <w:rsid w:val="161D2710"/>
    <w:rsid w:val="167673A1"/>
    <w:rsid w:val="16AA6FD1"/>
    <w:rsid w:val="16D56AAC"/>
    <w:rsid w:val="172121EB"/>
    <w:rsid w:val="17AA0480"/>
    <w:rsid w:val="17D36568"/>
    <w:rsid w:val="17F82A54"/>
    <w:rsid w:val="184078AE"/>
    <w:rsid w:val="188401D1"/>
    <w:rsid w:val="188D227F"/>
    <w:rsid w:val="192F711A"/>
    <w:rsid w:val="1A0B2C56"/>
    <w:rsid w:val="1AA5305E"/>
    <w:rsid w:val="1ADB0E54"/>
    <w:rsid w:val="1C5904D7"/>
    <w:rsid w:val="1D7069CD"/>
    <w:rsid w:val="1DE30B94"/>
    <w:rsid w:val="1E862B6D"/>
    <w:rsid w:val="1F7C2358"/>
    <w:rsid w:val="1FB07F91"/>
    <w:rsid w:val="20ED2229"/>
    <w:rsid w:val="217817B2"/>
    <w:rsid w:val="22890C8D"/>
    <w:rsid w:val="23A027B1"/>
    <w:rsid w:val="25251515"/>
    <w:rsid w:val="256223DC"/>
    <w:rsid w:val="25E0579E"/>
    <w:rsid w:val="27A65DB8"/>
    <w:rsid w:val="28774868"/>
    <w:rsid w:val="28C60AA0"/>
    <w:rsid w:val="2A4E22AF"/>
    <w:rsid w:val="2A6B42FA"/>
    <w:rsid w:val="2A870225"/>
    <w:rsid w:val="2B5D4967"/>
    <w:rsid w:val="2CD66967"/>
    <w:rsid w:val="2E603540"/>
    <w:rsid w:val="2F020615"/>
    <w:rsid w:val="304C7078"/>
    <w:rsid w:val="31CE6D72"/>
    <w:rsid w:val="33861F14"/>
    <w:rsid w:val="33DD4339"/>
    <w:rsid w:val="35335FA2"/>
    <w:rsid w:val="36061489"/>
    <w:rsid w:val="36885460"/>
    <w:rsid w:val="372361B7"/>
    <w:rsid w:val="37607760"/>
    <w:rsid w:val="380440B7"/>
    <w:rsid w:val="381E07C6"/>
    <w:rsid w:val="38387384"/>
    <w:rsid w:val="38BD14D1"/>
    <w:rsid w:val="3A3D56A4"/>
    <w:rsid w:val="3BF51A3C"/>
    <w:rsid w:val="3C13026D"/>
    <w:rsid w:val="3C8078D7"/>
    <w:rsid w:val="3DDC60B5"/>
    <w:rsid w:val="40231E47"/>
    <w:rsid w:val="40363F40"/>
    <w:rsid w:val="409256E4"/>
    <w:rsid w:val="409E7D83"/>
    <w:rsid w:val="40B33D72"/>
    <w:rsid w:val="411B39E1"/>
    <w:rsid w:val="414E681A"/>
    <w:rsid w:val="428A6E62"/>
    <w:rsid w:val="42CE6157"/>
    <w:rsid w:val="4333178A"/>
    <w:rsid w:val="43706132"/>
    <w:rsid w:val="44966F93"/>
    <w:rsid w:val="45C047BF"/>
    <w:rsid w:val="45EA0593"/>
    <w:rsid w:val="46FD730B"/>
    <w:rsid w:val="47AF3E70"/>
    <w:rsid w:val="49756696"/>
    <w:rsid w:val="4A1228DB"/>
    <w:rsid w:val="4A1B1ECC"/>
    <w:rsid w:val="4AE74DD0"/>
    <w:rsid w:val="4C2E14D5"/>
    <w:rsid w:val="4D1610A1"/>
    <w:rsid w:val="4DF35994"/>
    <w:rsid w:val="4EC91786"/>
    <w:rsid w:val="4F861E18"/>
    <w:rsid w:val="512A0AC6"/>
    <w:rsid w:val="538C505C"/>
    <w:rsid w:val="540106D5"/>
    <w:rsid w:val="546946EF"/>
    <w:rsid w:val="565101CA"/>
    <w:rsid w:val="567F481B"/>
    <w:rsid w:val="5759685A"/>
    <w:rsid w:val="578E459E"/>
    <w:rsid w:val="57A3234F"/>
    <w:rsid w:val="57C844D5"/>
    <w:rsid w:val="57EA41E9"/>
    <w:rsid w:val="594D206E"/>
    <w:rsid w:val="596A13D8"/>
    <w:rsid w:val="5A893EB0"/>
    <w:rsid w:val="5AF873B7"/>
    <w:rsid w:val="5B573312"/>
    <w:rsid w:val="5D241B5A"/>
    <w:rsid w:val="5D471E01"/>
    <w:rsid w:val="5E3B0440"/>
    <w:rsid w:val="606821F3"/>
    <w:rsid w:val="60AD2817"/>
    <w:rsid w:val="623F28DB"/>
    <w:rsid w:val="63AA2C72"/>
    <w:rsid w:val="64D925C4"/>
    <w:rsid w:val="64E467ED"/>
    <w:rsid w:val="65651799"/>
    <w:rsid w:val="65C33722"/>
    <w:rsid w:val="68527CA2"/>
    <w:rsid w:val="692A6240"/>
    <w:rsid w:val="6B6E278B"/>
    <w:rsid w:val="6BE509C5"/>
    <w:rsid w:val="6C72571A"/>
    <w:rsid w:val="6DB61045"/>
    <w:rsid w:val="6E0C0E77"/>
    <w:rsid w:val="6EB83079"/>
    <w:rsid w:val="6EC11C99"/>
    <w:rsid w:val="6ED476F5"/>
    <w:rsid w:val="6F3F769A"/>
    <w:rsid w:val="6F4B3B48"/>
    <w:rsid w:val="6FF0551C"/>
    <w:rsid w:val="700A52E4"/>
    <w:rsid w:val="700B25B1"/>
    <w:rsid w:val="710659AD"/>
    <w:rsid w:val="727D44B4"/>
    <w:rsid w:val="728D40FC"/>
    <w:rsid w:val="7291218D"/>
    <w:rsid w:val="736D1677"/>
    <w:rsid w:val="73BE7EBD"/>
    <w:rsid w:val="73F22758"/>
    <w:rsid w:val="748840AA"/>
    <w:rsid w:val="761352C3"/>
    <w:rsid w:val="765425FB"/>
    <w:rsid w:val="77DD303C"/>
    <w:rsid w:val="782A0826"/>
    <w:rsid w:val="786A2515"/>
    <w:rsid w:val="787C1591"/>
    <w:rsid w:val="79E82C45"/>
    <w:rsid w:val="7AD36021"/>
    <w:rsid w:val="7B832F79"/>
    <w:rsid w:val="7B9966F1"/>
    <w:rsid w:val="7D060077"/>
    <w:rsid w:val="7F252698"/>
    <w:rsid w:val="7FAA0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2"/>
    <w:basedOn w:val="1"/>
    <w:next w:val="1"/>
    <w:qFormat/>
    <w:uiPriority w:val="0"/>
    <w:pPr>
      <w:ind w:left="420" w:leftChars="200"/>
    </w:p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2021-11-08T06:51:37Z</cp:lastPrinted>
  <dcterms:modified xsi:type="dcterms:W3CDTF">2021-11-08T06:52:37Z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