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_GBK" w:hAnsi="华文中宋" w:eastAsia="方正小标宋_GBK" w:cs="Times New Roman"/>
          <w:b/>
          <w:bCs/>
          <w:spacing w:val="3"/>
          <w:kern w:val="2"/>
          <w:sz w:val="44"/>
          <w:szCs w:val="44"/>
          <w:lang w:val="en-US" w:eastAsia="zh-CN" w:bidi="ar-SA"/>
        </w:rPr>
      </w:pPr>
      <w:r>
        <w:rPr>
          <w:rFonts w:hint="eastAsia" w:ascii="方正小标宋_GBK" w:hAnsi="华文中宋" w:eastAsia="方正小标宋_GBK" w:cs="Times New Roman"/>
          <w:b/>
          <w:bCs/>
          <w:spacing w:val="3"/>
          <w:kern w:val="2"/>
          <w:sz w:val="44"/>
          <w:szCs w:val="44"/>
          <w:lang w:val="en-US" w:eastAsia="zh-CN" w:bidi="ar-SA"/>
        </w:rPr>
        <w:t>惠州市国有建设用地使用权</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_GBK" w:hAnsi="华文中宋" w:eastAsia="方正小标宋_GBK" w:cs="Times New Roman"/>
          <w:b/>
          <w:bCs/>
          <w:spacing w:val="3"/>
          <w:kern w:val="2"/>
          <w:sz w:val="44"/>
          <w:szCs w:val="44"/>
          <w:lang w:val="en-US" w:eastAsia="zh-CN" w:bidi="ar-SA"/>
        </w:rPr>
      </w:pPr>
      <w:r>
        <w:rPr>
          <w:rFonts w:hint="eastAsia" w:ascii="方正小标宋_GBK" w:hAnsi="华文中宋" w:eastAsia="方正小标宋_GBK" w:cs="Times New Roman"/>
          <w:b/>
          <w:bCs/>
          <w:spacing w:val="3"/>
          <w:kern w:val="2"/>
          <w:sz w:val="44"/>
          <w:szCs w:val="44"/>
          <w:lang w:val="en-US" w:eastAsia="zh-CN" w:bidi="ar-SA"/>
        </w:rPr>
        <w:t>网上挂牌出让须知</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惠公易土市直[2021]040号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（一）挂牌地块编号：GP2021-</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（二）地块位置：惠州市惠城区江北片区JB24-3-2A地块（地下空间）;</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用地</w:t>
      </w:r>
      <w:r>
        <w:rPr>
          <w:rFonts w:hint="eastAsia" w:ascii="仿宋_GB2312" w:hAnsi="仿宋_GB2312" w:eastAsia="仿宋_GB2312" w:cs="仿宋_GB2312"/>
          <w:sz w:val="32"/>
          <w:szCs w:val="32"/>
        </w:rPr>
        <w:t>编号：JB24-3-2A;</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（四）地块范围：平面界址点以《建设用地红线图》（案宗编号：YD20210035)为准，宗地竖向界限以《建设用地规划设计条件（案卷编号：PB20210050）规定为准；</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w:t>
      </w:r>
      <w:r>
        <w:rPr>
          <w:rFonts w:hint="eastAsia" w:ascii="仿宋_GB2312" w:hAnsi="仿宋_GB2312" w:eastAsia="仿宋_GB2312" w:cs="仿宋_GB2312"/>
          <w:sz w:val="32"/>
          <w:szCs w:val="32"/>
          <w:highlight w:val="none"/>
          <w:lang w:val="en-US" w:eastAsia="zh-CN"/>
        </w:rPr>
        <w:t>地下室</w:t>
      </w:r>
      <w:r>
        <w:rPr>
          <w:rFonts w:hint="eastAsia" w:ascii="仿宋_GB2312" w:hAnsi="仿宋_GB2312" w:eastAsia="仿宋_GB2312" w:cs="仿宋_GB2312"/>
          <w:sz w:val="32"/>
          <w:szCs w:val="32"/>
          <w:highlight w:val="none"/>
        </w:rPr>
        <w:t>宗地使用权面积为：7984.93平方米；</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（六）计算指标用地面积为：10986平方米；</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（七）计容积率建筑面积为：≤878平方米；</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（八）容积率为：≤0.08；</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（九）建筑密度为：</w:t>
      </w:r>
      <w:r>
        <w:rPr>
          <w:rFonts w:hint="default"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（十）土地用途为：交通服务场站用地；</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）土地使用权出让年期为：交通服务场站用地50年；</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）适建性：地面运动场、地下二层自走式停车库及配套设施；</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机动车停车位</w:t>
      </w:r>
      <w:r>
        <w:rPr>
          <w:rFonts w:hint="eastAsia" w:ascii="仿宋_GB2312" w:hAnsi="仿宋_GB2312" w:eastAsia="仿宋_GB2312" w:cs="仿宋_GB2312"/>
          <w:sz w:val="32"/>
          <w:szCs w:val="32"/>
          <w:lang w:eastAsia="zh-CN"/>
        </w:rPr>
        <w:t>：地下公共停车位≥450个；</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 动工及竣工时间：该地块的动工时间为地块交付之日起</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年内，竣工时间为动工之日起三年内（因不可抗拒因素除外）；</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）竞得人在缴清地价款后一个月内办理交地手续，凭《交地确认书》、《出让合同》（正本）和地价款交款凭证等申请办理土地初始登记，领取《不动产权证书》。</w:t>
      </w:r>
      <w:r>
        <w:rPr>
          <w:rFonts w:hint="eastAsia" w:ascii="宋体" w:hAnsi="宋体" w:eastAsia="宋体" w:cs="宋体"/>
          <w:sz w:val="25"/>
          <w:szCs w:val="25"/>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四、土地开发及使用规定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color w:val="auto"/>
          <w:sz w:val="32"/>
          <w:szCs w:val="32"/>
          <w:lang w:val="en-US" w:eastAsia="zh-CN"/>
        </w:rPr>
        <w:t>6400</w:t>
      </w:r>
      <w:r>
        <w:rPr>
          <w:rFonts w:hint="eastAsia" w:ascii="仿宋_GB2312" w:hAnsi="仿宋_GB2312" w:eastAsia="仿宋_GB2312" w:cs="仿宋_GB2312"/>
          <w:sz w:val="32"/>
          <w:szCs w:val="32"/>
        </w:rPr>
        <w:t>万元（含地价,不含地价溢价部分）。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color w:val="auto"/>
          <w:sz w:val="32"/>
          <w:szCs w:val="32"/>
        </w:rPr>
        <w:t>土地成交价款须以人民币支付，竞得人须在签订《出让合同》之日起一个月内缴清土地成交价款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eastAsia="仿宋_GB2312" w:cs="Times New Roman"/>
          <w:sz w:val="32"/>
          <w:szCs w:val="32"/>
          <w:lang w:bidi="ar-SA"/>
        </w:rPr>
        <w:t>竞得人在用地红线内开发建设必须符合城市规划要求，必须按《建设用地规划设计条件》（案卷编号：</w:t>
      </w:r>
      <w:r>
        <w:rPr>
          <w:rFonts w:hint="eastAsia" w:ascii="仿宋_GB2312" w:hAnsi="仿宋_GB2312" w:eastAsia="仿宋_GB2312" w:cs="仿宋_GB2312"/>
          <w:sz w:val="32"/>
          <w:szCs w:val="32"/>
          <w:lang w:bidi="ar-SA"/>
        </w:rPr>
        <w:t>PB20210050</w:t>
      </w:r>
      <w:r>
        <w:rPr>
          <w:rFonts w:hint="eastAsia" w:eastAsia="仿宋_GB2312" w:cs="Times New Roman"/>
          <w:sz w:val="32"/>
          <w:szCs w:val="32"/>
          <w:lang w:bidi="ar-SA"/>
        </w:rPr>
        <w:t>）规划控制指标要求及有关规定进行规划设计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auto"/>
          <w:sz w:val="32"/>
          <w:szCs w:val="32"/>
        </w:rPr>
        <w:t>该地属政府储备地，没有法律经济纠纷，具备动工开发所必须的基本条件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eastAsia="仿宋_GB2312" w:cs="Times New Roman"/>
          <w:sz w:val="32"/>
          <w:szCs w:val="32"/>
          <w:lang w:bidi="ar-SA"/>
        </w:rPr>
        <w:t>竞得人须负责建设运动场（室外跑道、足球场、看台），并无偿移交给政府相关部门</w:t>
      </w:r>
      <w:r>
        <w:rPr>
          <w:rFonts w:hint="eastAsia" w:ascii="仿宋_GB2312" w:hAnsi="仿宋_GB2312" w:eastAsia="仿宋_GB2312" w:cs="仿宋_GB2312"/>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中华人民共和国境内外的法人、自然人和其他组织（除法律法规另有规定外）均可申请参加竞买。申请人可以单独申请，也可以联合申请</w:t>
      </w:r>
      <w:r>
        <w:rPr>
          <w:rFonts w:hint="eastAsia" w:ascii="仿宋_GB2312" w:hAnsi="仿宋_GB2312" w:eastAsia="仿宋_GB2312" w:cs="仿宋_GB2312"/>
          <w:kern w:val="2"/>
          <w:sz w:val="32"/>
          <w:szCs w:val="32"/>
          <w:lang w:val="en-US" w:eastAsia="zh-CN" w:bidi="ar-SA"/>
        </w:rPr>
        <w:t>。申请人还应具备下列条件：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按时足额交纳竞买保证金。该宗地竞买保证金可用人民币或外币（暂限于美元、港币）支付。以人民币缴交竞买保证金的，须缴交人民币510万元，如以外币缴交竞买保证金的，须缴交美元80万元、港币616万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预先办理数字证书。本次国有建设用地使用权网上挂牌出让只能在互联网上，通过惠州市公共资源交易中心土地与矿业网上挂牌交易系统（https://www.hzgtjy.com/，以下简称“网上挂牌交易系统”）进行。只有通过网上注册、办理数字证书、按要求足额交付竞买保证金的申请人，才能参加网上挂牌交易活动。</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（三）申请人及其控股股东存在下列违法、违规、违约行为之一的，不得参与上述地块竞买活动：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1.存在伪造公文骗取用地和非法倒卖土地等犯罪行为的；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2.存在非法转让土地使用权等违法行为的；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3.因企业原因造成土地闲置一年以上且至报名日止未处罚完结的；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4.开发建设企业有违背出让合同约定条件开发利用土地情形且至报名日止未处罚完结的；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5.至报名日止仍拖欠政府地价款的;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6.被列入问题楼盘开发企业黑名单的;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7.存在其它被禁止竞买土地行为的</w:t>
      </w:r>
      <w:r>
        <w:rPr>
          <w:rFonts w:hint="eastAsia" w:ascii="仿宋_GB2312" w:hAnsi="仿宋_GB2312" w:eastAsia="仿宋_GB2312" w:cs="仿宋_GB2312"/>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六、违约及处理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default" w:ascii="Times New Roman" w:hAnsi="Times New Roman" w:eastAsia="仿宋_GB2312" w:cs="Times New Roman"/>
          <w:sz w:val="32"/>
          <w:szCs w:val="32"/>
        </w:rPr>
        <w:t>竞得人有下列行为之一的，取消竞得人资格，</w:t>
      </w:r>
      <w:r>
        <w:rPr>
          <w:rFonts w:hint="default" w:ascii="Times New Roman" w:hAnsi="Times New Roman" w:eastAsia="仿宋_GB2312" w:cs="Times New Roman"/>
          <w:sz w:val="32"/>
          <w:szCs w:val="32"/>
          <w:lang w:val="en-US" w:eastAsia="zh-CN"/>
        </w:rPr>
        <w:t>竞买保证金不予退还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并由有关部门依法处理，</w:t>
      </w:r>
      <w:r>
        <w:rPr>
          <w:rFonts w:hint="default" w:ascii="Times New Roman" w:hAnsi="Times New Roman" w:eastAsia="仿宋_GB2312" w:cs="Times New Roman"/>
          <w:sz w:val="32"/>
          <w:szCs w:val="32"/>
        </w:rPr>
        <w:t>造成损失的，竞得人还应依法承担赔偿责任</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（一）不符合竞买资格条件的。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（二）采取行贿、恶意串通等非法手段竞得的。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（三）竞得人以其他非法手段竞得的。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（四）竞得人逾期或拒绝签订《成交确认书》的。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（五）竞得人逾期或拒绝签订《出让合同》的。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（六）不按本须知规定提供有关纸质文件材料，或提供虚假文件材料、隐瞒重要事实，引起交易纠纷的。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pPr>
      <w:r>
        <w:rPr>
          <w:rFonts w:hint="eastAsia" w:ascii="仿宋_GB2312" w:hAnsi="仿宋_GB2312" w:eastAsia="仿宋_GB2312" w:cs="仿宋_GB2312"/>
          <w:kern w:val="2"/>
          <w:sz w:val="32"/>
          <w:szCs w:val="32"/>
          <w:lang w:val="en-US" w:eastAsia="zh-CN" w:bidi="ar-SA"/>
        </w:rPr>
        <w:t>（七）构成违约责任的其他行为。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七、网上挂牌出让地块的起始价、增加幅度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挂牌起始价为人民币</w:t>
      </w:r>
      <w:r>
        <w:rPr>
          <w:rFonts w:hint="eastAsia" w:ascii="仿宋_GB2312" w:hAnsi="仿宋_GB2312" w:eastAsia="仿宋_GB2312" w:cs="仿宋_GB2312"/>
          <w:kern w:val="2"/>
          <w:sz w:val="32"/>
          <w:szCs w:val="32"/>
          <w:u w:val="single"/>
          <w:lang w:val="en-US" w:eastAsia="zh-CN" w:bidi="ar-SA"/>
        </w:rPr>
        <w:t>壹仟玖佰万元整</w:t>
      </w:r>
      <w:r>
        <w:rPr>
          <w:rFonts w:hint="eastAsia" w:ascii="仿宋_GB2312" w:hAnsi="仿宋_GB2312" w:eastAsia="仿宋_GB2312" w:cs="仿宋_GB2312"/>
          <w:kern w:val="2"/>
          <w:sz w:val="32"/>
          <w:szCs w:val="32"/>
          <w:lang w:val="en-US" w:eastAsia="zh-CN" w:bidi="ar-SA"/>
        </w:rPr>
        <w:t>（大写）（￥</w:t>
      </w:r>
      <w:r>
        <w:rPr>
          <w:rFonts w:hint="eastAsia" w:ascii="仿宋_GB2312" w:hAnsi="仿宋_GB2312" w:eastAsia="仿宋_GB2312" w:cs="仿宋_GB2312"/>
          <w:kern w:val="2"/>
          <w:sz w:val="32"/>
          <w:szCs w:val="32"/>
          <w:u w:val="single"/>
          <w:lang w:val="en-US" w:eastAsia="zh-CN" w:bidi="ar-SA"/>
        </w:rPr>
        <w:t>1900</w:t>
      </w:r>
      <w:r>
        <w:rPr>
          <w:rFonts w:hint="eastAsia" w:ascii="仿宋_GB2312" w:hAnsi="仿宋_GB2312" w:eastAsia="仿宋_GB2312" w:cs="仿宋_GB2312"/>
          <w:kern w:val="2"/>
          <w:sz w:val="32"/>
          <w:szCs w:val="32"/>
          <w:lang w:val="en-US" w:eastAsia="zh-CN" w:bidi="ar-SA"/>
        </w:rPr>
        <w:t>万元）,增价幅度为人民币</w:t>
      </w:r>
      <w:r>
        <w:rPr>
          <w:rFonts w:hint="eastAsia" w:ascii="仿宋_GB2312" w:hAnsi="仿宋_GB2312" w:eastAsia="仿宋_GB2312" w:cs="仿宋_GB2312"/>
          <w:kern w:val="2"/>
          <w:sz w:val="32"/>
          <w:szCs w:val="32"/>
          <w:u w:val="single"/>
          <w:lang w:val="en-US" w:eastAsia="zh-CN" w:bidi="ar-SA"/>
        </w:rPr>
        <w:t>伍拾万元</w:t>
      </w:r>
      <w:r>
        <w:rPr>
          <w:rFonts w:hint="eastAsia" w:ascii="仿宋_GB2312" w:hAnsi="仿宋_GB2312" w:eastAsia="仿宋_GB2312" w:cs="仿宋_GB2312"/>
          <w:kern w:val="2"/>
          <w:sz w:val="32"/>
          <w:szCs w:val="32"/>
          <w:lang w:val="en-US" w:eastAsia="zh-CN" w:bidi="ar-SA"/>
        </w:rPr>
        <w:t>（大写）（￥</w:t>
      </w:r>
      <w:r>
        <w:rPr>
          <w:rFonts w:hint="eastAsia" w:ascii="仿宋_GB2312" w:hAnsi="仿宋_GB2312" w:eastAsia="仿宋_GB2312" w:cs="仿宋_GB2312"/>
          <w:kern w:val="2"/>
          <w:sz w:val="32"/>
          <w:szCs w:val="32"/>
          <w:u w:val="single"/>
          <w:lang w:val="en-US" w:eastAsia="zh-CN" w:bidi="ar-SA"/>
        </w:rPr>
        <w:t>50</w:t>
      </w:r>
      <w:r>
        <w:rPr>
          <w:rFonts w:hint="eastAsia" w:ascii="仿宋_GB2312" w:hAnsi="仿宋_GB2312" w:eastAsia="仿宋_GB2312" w:cs="仿宋_GB2312"/>
          <w:kern w:val="2"/>
          <w:sz w:val="32"/>
          <w:szCs w:val="32"/>
          <w:lang w:val="en-US" w:eastAsia="zh-CN" w:bidi="ar-SA"/>
        </w:rPr>
        <w:t>万元）。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八、本次网上挂牌出让活动有关时间</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网上挂牌时间为10个工作日，不包括法定节假日。具体如下：</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（一）网上挂牌起始时间：2021年11月9日9时。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（二）网上挂牌截止时间：2021年11月23日10时。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（三）网上挂牌交纳保证金截止时间：2021年11月23日9时。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（四）网上挂牌报价时间：网上挂牌起止时间内。</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九、挂牌文件获取</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挂牌出让地块现状图；</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eastAsia="仿宋_GB2312" w:cs="Times New Roman"/>
          <w:sz w:val="32"/>
          <w:szCs w:val="32"/>
          <w:lang w:bidi="ar-SA"/>
        </w:rPr>
        <w:t>《建设用地规划设计条件》（案卷编号：</w:t>
      </w:r>
      <w:r>
        <w:rPr>
          <w:rFonts w:hint="eastAsia" w:ascii="仿宋_GB2312" w:hAnsi="仿宋_GB2312" w:eastAsia="仿宋_GB2312" w:cs="仿宋_GB2312"/>
          <w:sz w:val="32"/>
          <w:szCs w:val="32"/>
          <w:lang w:bidi="ar-SA"/>
        </w:rPr>
        <w:t>PB20210050</w:t>
      </w:r>
      <w:r>
        <w:rPr>
          <w:rFonts w:hint="eastAsia" w:eastAsia="仿宋_GB2312" w:cs="Times New Roman"/>
          <w:sz w:val="32"/>
          <w:szCs w:val="32"/>
          <w:lang w:bidi="ar-SA"/>
        </w:rPr>
        <w:t>）</w:t>
      </w:r>
      <w:r>
        <w:rPr>
          <w:rFonts w:hint="eastAsia" w:ascii="仿宋_GB2312" w:hAnsi="仿宋_GB2312" w:eastAsia="仿宋_GB2312" w:cs="仿宋_GB2312"/>
          <w:sz w:val="32"/>
          <w:szCs w:val="32"/>
        </w:rPr>
        <w:t>；</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val="en-US" w:eastAsia="zh-CN"/>
        </w:rPr>
        <w:t>国有建设用地使用权电子挂牌</w:t>
      </w:r>
      <w:r>
        <w:rPr>
          <w:rFonts w:hint="eastAsia" w:ascii="仿宋_GB2312" w:hAnsi="仿宋_GB2312" w:eastAsia="仿宋_GB2312" w:cs="仿宋_GB2312"/>
          <w:sz w:val="32"/>
          <w:szCs w:val="32"/>
        </w:rPr>
        <w:t>交易成交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《国有建设用地使用权出让合同》（以下简称“出让合同”）样本；</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sz w:val="32"/>
          <w:szCs w:val="32"/>
          <w:lang w:val="en-US" w:eastAsia="zh-CN"/>
        </w:rPr>
        <w:t>8、其他相关文件</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十、办理数字证书</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w:t>
      </w:r>
      <w:r>
        <w:rPr>
          <w:rFonts w:hint="eastAsia" w:ascii="仿宋_GB2312" w:hAnsi="仿宋_GB2312" w:eastAsia="仿宋_GB2312" w:cs="仿宋_GB2312"/>
          <w:sz w:val="32"/>
          <w:szCs w:val="32"/>
        </w:rPr>
        <w:t>0752-7121029</w:t>
      </w:r>
      <w:r>
        <w:rPr>
          <w:rFonts w:hint="eastAsia" w:ascii="仿宋_GB2312" w:hAnsi="仿宋_GB2312" w:eastAsia="仿宋_GB2312" w:cs="仿宋_GB2312"/>
          <w:sz w:val="32"/>
          <w:szCs w:val="32"/>
          <w:highlight w:val="none"/>
        </w:rPr>
        <w:t>）申请办理。</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数字证书的办理流程详见网上挂牌交易系统上的《数字证书办理指南》</w:t>
      </w:r>
      <w:r>
        <w:rPr>
          <w:rFonts w:hint="eastAsia" w:ascii="仿宋_GB2312" w:hAnsi="仿宋_GB2312" w:eastAsia="仿宋_GB2312" w:cs="仿宋_GB2312"/>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十一、答疑及现场踏勘</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申请人对网上挂牌出让文件有疑问的，可在网上挂牌活动开始前以书面或者口头方式向本中心咨询。有意竞买者可自行踏勘现场。（可在网上查阅位置图和现状图）。</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十二、竞买保证金</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（一）竞买保证金是申请人参加网上挂牌交易活动的资格条件。按规定将竞买保证金汇入指定账户，是参加网上挂牌交易活动的必经程序。</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（二）本宗地竞买保证金到账截止时间为2021年11月23 日9时整，竞买保证金为人民币</w:t>
      </w:r>
      <w:r>
        <w:rPr>
          <w:rFonts w:hint="eastAsia" w:ascii="仿宋_GB2312" w:hAnsi="仿宋_GB2312" w:eastAsia="仿宋_GB2312" w:cs="仿宋_GB2312"/>
          <w:kern w:val="2"/>
          <w:sz w:val="32"/>
          <w:szCs w:val="32"/>
          <w:u w:val="single"/>
          <w:lang w:val="en-US" w:eastAsia="zh-CN" w:bidi="ar-SA"/>
        </w:rPr>
        <w:t>伍佰壹拾万元整</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u w:val="single"/>
          <w:lang w:val="en-US" w:eastAsia="zh-CN" w:bidi="ar-SA"/>
        </w:rPr>
        <w:t>510</w:t>
      </w:r>
      <w:r>
        <w:rPr>
          <w:rFonts w:hint="eastAsia" w:ascii="仿宋_GB2312" w:hAnsi="仿宋_GB2312" w:eastAsia="仿宋_GB2312" w:cs="仿宋_GB2312"/>
          <w:kern w:val="2"/>
          <w:sz w:val="32"/>
          <w:szCs w:val="32"/>
          <w:lang w:val="en-US" w:eastAsia="zh-CN" w:bidi="ar-SA"/>
        </w:rPr>
        <w:t>万元）；如以外币缴交竞买保证金的，须缴交美元</w:t>
      </w:r>
      <w:r>
        <w:rPr>
          <w:rFonts w:hint="eastAsia" w:ascii="仿宋_GB2312" w:hAnsi="仿宋_GB2312" w:eastAsia="仿宋_GB2312" w:cs="仿宋_GB2312"/>
          <w:kern w:val="2"/>
          <w:sz w:val="32"/>
          <w:szCs w:val="32"/>
          <w:u w:val="single"/>
          <w:lang w:val="en-US" w:eastAsia="zh-CN" w:bidi="ar-SA"/>
        </w:rPr>
        <w:t>捌拾万元整</w:t>
      </w:r>
      <w:r>
        <w:rPr>
          <w:rFonts w:hint="eastAsia" w:ascii="仿宋_GB2312" w:hAnsi="仿宋_GB2312" w:eastAsia="仿宋_GB2312" w:cs="仿宋_GB2312"/>
          <w:kern w:val="2"/>
          <w:sz w:val="32"/>
          <w:szCs w:val="32"/>
          <w:lang w:val="en-US" w:eastAsia="zh-CN" w:bidi="ar-SA"/>
        </w:rPr>
        <w:t>(USD</w:t>
      </w:r>
      <w:r>
        <w:rPr>
          <w:rFonts w:hint="eastAsia" w:ascii="仿宋_GB2312" w:hAnsi="仿宋_GB2312" w:eastAsia="仿宋_GB2312" w:cs="仿宋_GB2312"/>
          <w:kern w:val="2"/>
          <w:sz w:val="32"/>
          <w:szCs w:val="32"/>
          <w:u w:val="single"/>
          <w:lang w:val="en-US" w:eastAsia="zh-CN" w:bidi="ar-SA"/>
        </w:rPr>
        <w:t>80</w:t>
      </w:r>
      <w:r>
        <w:rPr>
          <w:rFonts w:hint="eastAsia" w:ascii="仿宋_GB2312" w:hAnsi="仿宋_GB2312" w:eastAsia="仿宋_GB2312" w:cs="仿宋_GB2312"/>
          <w:kern w:val="2"/>
          <w:sz w:val="32"/>
          <w:szCs w:val="32"/>
          <w:lang w:val="en-US" w:eastAsia="zh-CN" w:bidi="ar-SA"/>
        </w:rPr>
        <w:t>万元）或港币</w:t>
      </w:r>
      <w:r>
        <w:rPr>
          <w:rFonts w:hint="eastAsia" w:ascii="仿宋_GB2312" w:hAnsi="仿宋_GB2312" w:eastAsia="仿宋_GB2312" w:cs="仿宋_GB2312"/>
          <w:kern w:val="2"/>
          <w:sz w:val="32"/>
          <w:szCs w:val="32"/>
          <w:u w:val="single"/>
          <w:lang w:val="en-US" w:eastAsia="zh-CN" w:bidi="ar-SA"/>
        </w:rPr>
        <w:t>陆佰壹拾陆万元整</w:t>
      </w:r>
      <w:r>
        <w:rPr>
          <w:rFonts w:hint="eastAsia" w:ascii="仿宋_GB2312" w:hAnsi="仿宋_GB2312" w:eastAsia="仿宋_GB2312" w:cs="仿宋_GB2312"/>
          <w:kern w:val="2"/>
          <w:sz w:val="32"/>
          <w:szCs w:val="32"/>
          <w:lang w:val="en-US" w:eastAsia="zh-CN" w:bidi="ar-SA"/>
        </w:rPr>
        <w:t>(HKD</w:t>
      </w:r>
      <w:r>
        <w:rPr>
          <w:rFonts w:hint="eastAsia" w:ascii="仿宋_GB2312" w:hAnsi="仿宋_GB2312" w:eastAsia="仿宋_GB2312" w:cs="仿宋_GB2312"/>
          <w:kern w:val="2"/>
          <w:sz w:val="32"/>
          <w:szCs w:val="32"/>
          <w:u w:val="single"/>
          <w:lang w:val="en-US" w:eastAsia="zh-CN" w:bidi="ar-SA"/>
        </w:rPr>
        <w:t>616</w:t>
      </w:r>
      <w:r>
        <w:rPr>
          <w:rFonts w:hint="eastAsia" w:ascii="仿宋_GB2312" w:hAnsi="仿宋_GB2312" w:eastAsia="仿宋_GB2312" w:cs="仿宋_GB2312"/>
          <w:kern w:val="2"/>
          <w:sz w:val="32"/>
          <w:szCs w:val="32"/>
          <w:lang w:val="en-US" w:eastAsia="zh-CN" w:bidi="ar-SA"/>
        </w:rPr>
        <w:t>万元）。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（三）竞买人应当提前交纳竞买保证金以确保在到账截止时间前到账，超过到账截止时间的保证金，网上挂牌交易系统将不予受理，造成的损失由竞买人自行承担。</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（四）跨地区或跨行转账的竞买人，需预足资金的在途时间，以免影响竞买人及时取得竞买资格。</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（五）竞买保证金到账时间以网上挂牌交易系统颁发《保证金到账通知书》为准。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（六）竞买保证金开户单位：惠州市公共资源交易中心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竞买保证金账号：网上挂牌交易系统随机产生子账号。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开户银行：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1、中国建设银行惠州广场支行。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2、中国银行惠州分行。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3、中国工商银行股份有限公司惠州富力国际中心支行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4、中国农业银行惠州分行。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5、广发银行惠州江北支行。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6、交通银行惠州分行。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7、惠州市农村商业银行股份有限公司惠城支行。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8、上海浦东发展银行股份有限公司惠州分行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9、中国民生银行股份有限公司惠州分行。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10、中国光大银行股份有限公司惠州分行。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11、中信银行股份有限公司惠州分行。(备注:中信银行股份有限公司惠州分行本行转账须到银行柜面办理)。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十三、网上报价规则</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（一）本次网上挂牌以增价方式进行报价，每次加价幅度为本须知规定增价幅度的整数倍。</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（二）竞买人的首次报价不低于起始价，此后的竞买人报价须高于报价当时的最新网上挂牌价格，并以增价幅度的整数倍加价。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（三）竞买人通过网上挂牌交易提交的报价一经报出，不得撤回。</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（四）在报价期间，竞买人可多次报价。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（五）在报价期内，竞买人必须进行一次有效报价，才能参加网上限时竞价。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（六）竞买人报价有下列情形之一的，为无效报价：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1、报价未在网上挂牌期限内收到的。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2、报价因竞买人网络故障未在网上挂牌报价期限内收到的。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3、报价不符合报价规则的。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4、报价低于网上挂牌起始价的。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5、报价不符合网上挂牌公告、须知及相关交易文件规定的其他情形。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pPr>
      <w:r>
        <w:rPr>
          <w:rFonts w:hint="eastAsia" w:ascii="仿宋_GB2312" w:hAnsi="仿宋_GB2312" w:eastAsia="仿宋_GB2312" w:cs="仿宋_GB2312"/>
          <w:b/>
          <w:bCs/>
          <w:kern w:val="2"/>
          <w:sz w:val="32"/>
          <w:szCs w:val="32"/>
          <w:lang w:val="en-US" w:eastAsia="zh-CN" w:bidi="ar-SA"/>
        </w:rPr>
        <w:t>十四、系统操作</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土地与矿业交易系统竞买人操作视频可在本中心网上挂牌交易系统（https://www.hzgtjy.com/）下载。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十五、网上挂牌程序</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（一）公布网上挂牌信息</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我中心将有关宗地的位置、面积、用途、使用年期、规划要求、起始价、增价规则及增价幅度等予以公布。</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有意竞买者可登陆惠州市公共资源交易中心土地与矿业网上挂牌交易系统网站(https://www.hzgtjy.com/)查询。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（二）申请竞买</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（三）交纳保证金</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（四）网上挂牌报价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1、网上挂牌交易从网上挂牌起始时间起开始接受报价。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2、办理好数字证书、按时足额交付竞买保证金并经网上挂牌交易系统确认的竞买人通过网上挂牌交易系统进行报价。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3、网上挂牌交易系统对符合规定的报价予以确认，并更新显示当前报价。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4、网上挂牌交易系统继续接受新的报价。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5、网上挂牌报价规则见《须知》第十三条。</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（五）网上挂牌截止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1、网上挂牌交易系统将在网上挂牌截止时间自动确定网上挂牌截止。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2、网上挂牌交易期限截止时，无人报价的，挂牌不成交。</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3、网上挂牌交易期限截止时，只有1个竞买人报价，且报价不低于起始价的，挂牌成交，该报价者为竞得人。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网上限时竞价中无人报价的，以网上挂牌截止时出价最高且报价不低于起始价者为竞得人。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经网上挂牌交易系统询问完毕后，没有竞买人表示愿意继续竞价的，以网上挂牌交易截止时报价最高且报价不低于起始价者为竞得人。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（六）资格审查和签订《成交确认书》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highlight w:val="none"/>
        </w:rPr>
        <w:t>网上挂牌交易结束后，竞得人应当自行下载打印《竞买申请书》、《竞价结果通知书》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《竞买保证金到账通知书》并盖章</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highlight w:val="none"/>
        </w:rPr>
        <w:t>竞</w:t>
      </w:r>
      <w:r>
        <w:rPr>
          <w:rFonts w:hint="eastAsia" w:ascii="仿宋_GB2312" w:hAnsi="仿宋_GB2312" w:eastAsia="仿宋_GB2312" w:cs="仿宋_GB2312"/>
          <w:sz w:val="32"/>
          <w:szCs w:val="32"/>
          <w:highlight w:val="none"/>
          <w:lang w:val="en-US" w:eastAsia="zh-CN"/>
        </w:rPr>
        <w:t>得</w:t>
      </w:r>
      <w:r>
        <w:rPr>
          <w:rFonts w:hint="eastAsia" w:ascii="仿宋_GB2312" w:hAnsi="仿宋_GB2312" w:eastAsia="仿宋_GB2312" w:cs="仿宋_GB2312"/>
          <w:sz w:val="32"/>
          <w:szCs w:val="32"/>
          <w:highlight w:val="none"/>
        </w:rPr>
        <w:t>人应当在网上挂牌交易结果公布</w:t>
      </w:r>
      <w:r>
        <w:rPr>
          <w:rFonts w:hint="eastAsia" w:ascii="仿宋_GB2312" w:hAnsi="仿宋_GB2312" w:eastAsia="仿宋_GB2312" w:cs="仿宋_GB2312"/>
          <w:sz w:val="32"/>
          <w:szCs w:val="32"/>
          <w:highlight w:val="none"/>
          <w:lang w:val="en-US" w:eastAsia="zh-CN"/>
        </w:rPr>
        <w:t>之日起5</w:t>
      </w:r>
      <w:r>
        <w:rPr>
          <w:rFonts w:hint="eastAsia" w:ascii="仿宋_GB2312" w:hAnsi="仿宋_GB2312" w:eastAsia="仿宋_GB2312" w:cs="仿宋_GB2312"/>
          <w:sz w:val="32"/>
          <w:szCs w:val="32"/>
          <w:highlight w:val="none"/>
        </w:rPr>
        <w:t>个工作</w:t>
      </w:r>
      <w:r>
        <w:rPr>
          <w:rFonts w:hint="eastAsia" w:ascii="仿宋_GB2312" w:hAnsi="仿宋_GB2312" w:eastAsia="仿宋_GB2312" w:cs="仿宋_GB2312"/>
          <w:color w:val="auto"/>
          <w:sz w:val="32"/>
          <w:szCs w:val="32"/>
          <w:highlight w:val="none"/>
        </w:rPr>
        <w:t>日内持公司公章及下列有关纸质材料到本中心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由委托方进行资格审查，符合竞买资格的，竞得人应当</w:t>
      </w:r>
      <w:r>
        <w:rPr>
          <w:rFonts w:hint="eastAsia" w:ascii="仿宋_GB2312" w:hAnsi="仿宋_GB2312" w:eastAsia="仿宋_GB2312" w:cs="仿宋_GB2312"/>
          <w:color w:val="auto"/>
          <w:sz w:val="32"/>
          <w:szCs w:val="32"/>
          <w:highlight w:val="none"/>
        </w:rPr>
        <w:t>在网上挂牌交易结果公布</w:t>
      </w:r>
      <w:r>
        <w:rPr>
          <w:rFonts w:hint="eastAsia" w:ascii="仿宋_GB2312" w:hAnsi="仿宋_GB2312" w:eastAsia="仿宋_GB2312" w:cs="仿宋_GB2312"/>
          <w:color w:val="auto"/>
          <w:sz w:val="32"/>
          <w:szCs w:val="32"/>
          <w:highlight w:val="none"/>
          <w:lang w:val="en-US" w:eastAsia="zh-CN"/>
        </w:rPr>
        <w:t>之日起5</w:t>
      </w:r>
      <w:r>
        <w:rPr>
          <w:rFonts w:hint="eastAsia" w:ascii="仿宋_GB2312" w:hAnsi="仿宋_GB2312" w:eastAsia="仿宋_GB2312" w:cs="仿宋_GB2312"/>
          <w:color w:val="auto"/>
          <w:sz w:val="32"/>
          <w:szCs w:val="32"/>
          <w:highlight w:val="none"/>
        </w:rPr>
        <w:t>个工作日内</w:t>
      </w:r>
      <w:r>
        <w:rPr>
          <w:rFonts w:hint="eastAsia" w:ascii="仿宋_GB2312" w:hAnsi="仿宋_GB2312" w:eastAsia="仿宋_GB2312" w:cs="仿宋_GB2312"/>
          <w:color w:val="auto"/>
          <w:sz w:val="32"/>
          <w:szCs w:val="32"/>
          <w:highlight w:val="none"/>
          <w:lang w:val="en-US" w:eastAsia="zh-CN"/>
        </w:rPr>
        <w:t>签订</w:t>
      </w:r>
      <w:r>
        <w:rPr>
          <w:rFonts w:hint="eastAsia" w:ascii="仿宋_GB2312" w:hAnsi="仿宋_GB2312" w:eastAsia="仿宋_GB2312" w:cs="仿宋_GB2312"/>
          <w:color w:val="auto"/>
          <w:sz w:val="32"/>
          <w:szCs w:val="32"/>
          <w:highlight w:val="none"/>
        </w:rPr>
        <w:t>《成交确认书》</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（1）《竞买申请书》（加盖公章）。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（2）《竞价结果通知书》（加盖公章）。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（3）《竞买保证金到账通知书》（加盖公章）。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（4）转账凭证复印件（加盖公章）。</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（5）申请竞买人有效的《营业执照》复印件（加盖公章）（二份）。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（6）法定代表人身份证复印件（加盖公章）（二份）。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（7）授权他人代理的授权委托书及代理人身份证复印件（核对原件）。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（8）联合竞买协议（联合竞买的提供）。</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（9）竞买人及其控股股东不存在违法、违规、违约行为的承诺书。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上述第（7）、（9）项材料须使用本中心标准样本，可在本系统的“挂牌文件”中下载。</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竞买人如需保存上述竞买报名资料应自留备份，本中心不予退还。</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联合竞买协议要约定联合各方的权利和义务。必须明确表达参与联合竞买的各方、参与竞买的代表人、联合各方的出资比例和签订《出让合同》时的受让人。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上述文件中，申请书必须用中文书写，其他文件可以使用其它语言，但必须附中文译本，所有文件的解释以中文译本为准。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（七）网上挂牌出让结果公示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_GB2312" w:eastAsia="仿宋_GB2312" w:cs="仿宋_GB2312"/>
          <w:kern w:val="2"/>
          <w:sz w:val="32"/>
          <w:szCs w:val="32"/>
          <w:lang w:val="en-US" w:eastAsia="zh-CN" w:bidi="ar-SA"/>
        </w:rPr>
        <w:t>我中心将在本次国有建设用地使用权网上挂牌出让活动结束后10个工作日内，在中国土地市场网、惠州市公共资源交易中心网和本中心电子显示屏公布本次国有土地使用权网上挂牌出让结果。</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十六、注意事项</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（二）本次国有建设用地使用权网上挂牌出让为无底价挂牌出让，按照价高者得的原则确定竞得人。</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sz w:val="3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国有建设用地使用权出让合同》（以下简称《出让合同》），在竞得人按约定办理完新公司注册登记手续后，再与新公司签订国有建设用地使用权出让合同补充条款，也可按约定直接与新公司签订《出让合同》</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sz w:val="3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补充条款；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（五）确定竞得人后，竞得人持《竞价结果通知书》以及参加本宗地网上挂牌交易的所须资料到惠州市公共资源交易中心土地矿业交易部申办相关成交确认手续。</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《竞价结果通知书》对挂牌人和竞得人具有法律效力，挂牌人改变网上挂牌结果的，或者竞得人放弃竞得宗地的，应当承担相应法律责任。</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网上挂牌系统确定成交后，竞得人缴纳的竞买保证金按成交价的10%转作定金。如竞买保证金不足以缴纳定金，不足部分在交易系统确定成交之日起5个工作日内补齐；如竞买保证金转作定金后有剩余，余额抵作土地成交价的预付款。竞得人签订《出让合同》后，定金可抵作土地成交价款，余额转作成交价款。</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以外币缴交竞买保证金的，扣除定金后余额部分返回给竞得人，待竞得人按时缴清成交价款后，再将定金退还，不计利息。</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未竞得人缴纳的竞买保证金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以人民币缴纳的竞买保证金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w:t>
      </w:r>
      <w:r>
        <w:rPr>
          <w:rFonts w:hint="eastAsia" w:ascii="仿宋_GB2312" w:hAnsi="仿宋_GB2312" w:eastAsia="仿宋_GB2312" w:cs="仿宋_GB2312"/>
          <w:sz w:val="32"/>
          <w:szCs w:val="32"/>
          <w:lang w:val="en-US" w:eastAsia="zh-CN"/>
        </w:rPr>
        <w:t>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竞得人应当在《成交确认书》签订之日起5个工作日内与出让人签订《出让合同》</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r>
        <w:rPr>
          <w:rFonts w:hint="eastAsia" w:ascii="仿宋_GB2312" w:hAnsi="仿宋_GB2312" w:eastAsia="仿宋_GB2312" w:cs="仿宋_GB2312"/>
          <w:b/>
          <w:bCs/>
          <w:sz w:val="32"/>
          <w:szCs w:val="32"/>
          <w:highlight w:val="none"/>
          <w:shd w:val="clear" w:color="auto" w:fill="auto"/>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为避免网络延迟问题，竞买人首次出价应在网上挂牌截止前10分钟出价，以防止网上挂牌交易无法及时接收到报价的情况发生。5分钟倒计时竞价期间，请不要在最后时段报价，以防网络延时造成报价提交不成功。</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（八）有下列情形之一的，本中心将暂停、中止或终止网上挂牌交易活动：</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1、网上挂牌交易系统受到网络恶意入侵的。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2、因网上挂牌交易系统遭受破坏或发生电力、网络故障等不可抗力因素，导致网上挂牌交易系统不能正常运行的。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3、网上挂牌交易委托人根据有关规定要求暂停、中止或终止网上挂牌交易活动的。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4、涉及土地或矿业权纠纷，不能及时解决的。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5、司法机关要求暂停、中止或终止网上挂牌交易活动的。</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6、市自然资源管理部门或交易中心认为应当暂停、中止或终止网上挂牌交易活动的其他情形。</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（九）网上挂牌成交价即为该幅地块的总地价款，竞得人除支付成交价款外，还需支付契税、印花税等有关费用。</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（十）竞得人与出让人签订《出让合同》后，应当按出让合同约定支付网上挂牌成交价款。竞得人付清全部网上挂牌成交价款后，依法申请办理土地登记，领取《不动产权证书》。</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（十一）网上挂牌不成交的，应当按规定由委托方和本中心重新组织出让。</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（十二）本中心认为需要对网上挂牌出让须知、公告及相关交易文件作出修改、补充时，将通过原公告发布渠道公告，不作另行通知。</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（十三）本须知及公告涉及的时间期限，以惠州市公共资源交易中心土地与矿业网上挂牌交易系统服务器的时间为准。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（十四）竞买人在本次网上挂牌交易过程中与惠州市公共资源交易中心发生任何争议，由双方协商。协商不成的可依法提交惠州市仲裁机构仲裁解决。</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（十五）本中心对本《须知》有解释权。未尽事宜依照《招标拍卖挂牌出让国有土地使用权规范》办理。</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惠州市公共资源交易中心     </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eastAsia="仿宋_GB2312"/>
          <w:lang w:val="en-US" w:eastAsia="zh-CN"/>
        </w:rPr>
      </w:pPr>
      <w:r>
        <w:rPr>
          <w:rFonts w:hint="eastAsia" w:ascii="仿宋_GB2312" w:hAnsi="仿宋_GB2312" w:eastAsia="仿宋_GB2312" w:cs="仿宋_GB2312"/>
          <w:kern w:val="2"/>
          <w:sz w:val="32"/>
          <w:szCs w:val="32"/>
          <w:lang w:val="en-US" w:eastAsia="zh-CN" w:bidi="ar-SA"/>
        </w:rPr>
        <w:t xml:space="preserve">                         2021年10月18</w:t>
      </w:r>
      <w:bookmarkStart w:id="0" w:name="_GoBack"/>
      <w:bookmarkEnd w:id="0"/>
      <w:r>
        <w:rPr>
          <w:rFonts w:hint="eastAsia" w:ascii="仿宋_GB2312" w:hAnsi="仿宋_GB2312" w:eastAsia="仿宋_GB2312" w:cs="仿宋_GB2312"/>
          <w:kern w:val="2"/>
          <w:sz w:val="32"/>
          <w:szCs w:val="32"/>
          <w:lang w:val="en-US" w:eastAsia="zh-CN" w:bidi="ar-SA"/>
        </w:rPr>
        <w:t>日</w:t>
      </w:r>
      <w:r>
        <w:rPr>
          <w:rFonts w:hint="eastAsia" w:ascii="仿宋_GB2312" w:hAnsi="宋体" w:eastAsia="仿宋_GB2312" w:cs="仿宋_GB2312"/>
          <w:sz w:val="25"/>
          <w:szCs w:val="25"/>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outlineLvl w:val="9"/>
      </w:pPr>
    </w:p>
    <w:sectPr>
      <w:footerReference r:id="rId3" w:type="default"/>
      <w:pgSz w:w="11906" w:h="16838"/>
      <w:pgMar w:top="1440" w:right="1485"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73EF0"/>
    <w:rsid w:val="015725A3"/>
    <w:rsid w:val="0398491D"/>
    <w:rsid w:val="07175A66"/>
    <w:rsid w:val="08E86ED8"/>
    <w:rsid w:val="15937805"/>
    <w:rsid w:val="16462F87"/>
    <w:rsid w:val="1E247C15"/>
    <w:rsid w:val="1F973EF0"/>
    <w:rsid w:val="2AAB2AC2"/>
    <w:rsid w:val="33A6006B"/>
    <w:rsid w:val="33B40EC2"/>
    <w:rsid w:val="36C9207F"/>
    <w:rsid w:val="377D59C2"/>
    <w:rsid w:val="3E910382"/>
    <w:rsid w:val="45622B90"/>
    <w:rsid w:val="45B02BB7"/>
    <w:rsid w:val="478005E7"/>
    <w:rsid w:val="49DD3017"/>
    <w:rsid w:val="4FDF4DC1"/>
    <w:rsid w:val="5AC8320D"/>
    <w:rsid w:val="615E04BA"/>
    <w:rsid w:val="69FE57C5"/>
    <w:rsid w:val="6CC00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roid Sans" w:hAnsi="Droid Sans" w:eastAsia="仿宋_GB2312"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qFormat/>
    <w:uiPriority w:val="0"/>
    <w:rPr>
      <w:i/>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5">
    <w:name w:val="first-child"/>
    <w:basedOn w:val="6"/>
    <w:qFormat/>
    <w:uiPriority w:val="0"/>
  </w:style>
  <w:style w:type="character" w:customStyle="1" w:styleId="16">
    <w:name w:val="actspan2"/>
    <w:basedOn w:val="6"/>
    <w:qFormat/>
    <w:uiPriority w:val="0"/>
  </w:style>
  <w:style w:type="character" w:customStyle="1" w:styleId="17">
    <w:name w:val="layui-layer-tabnow"/>
    <w:basedOn w:val="6"/>
    <w:qFormat/>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2</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2021-08-10T02:46:00Z</dcterms:created>
  <dc:creator>杨惠丹</dc:creator>
  <cp:lastModifiedBy>杨惠丹</cp:lastModifiedBy>
  <cp:lastPrinted>2021-10-13T07:24:00Z</cp:lastPrinted>
  <dcterms:modified xsi:type="dcterms:W3CDTF">2021-10-18T09:09:40Z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