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040</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根据《招标拍卖挂牌出让国有建设用地使用权规定》（国土资源部令 第39号）和《广东省土地使用权交易市场管理规定》（广东省人民政府令 第79号）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highlight w:val="none"/>
        </w:rPr>
        <w:t>网上挂牌竞买时间为</w:t>
      </w:r>
      <w:r>
        <w:rPr>
          <w:rFonts w:hint="eastAsia" w:ascii="仿宋_GB2312" w:hAnsi="仿宋_GB2312" w:eastAsia="仿宋_GB2312" w:cs="仿宋_GB2312"/>
          <w:sz w:val="32"/>
          <w:szCs w:val="32"/>
          <w:highlight w:val="none"/>
          <w:lang w:val="en-US" w:eastAsia="zh-CN"/>
        </w:rPr>
        <w:t>2021年11月9日9</w:t>
      </w:r>
      <w:r>
        <w:rPr>
          <w:rFonts w:hint="eastAsia" w:ascii="仿宋_GB2312" w:hAnsi="仿宋_GB2312" w:eastAsia="仿宋_GB2312" w:cs="仿宋_GB2312"/>
          <w:sz w:val="32"/>
          <w:szCs w:val="32"/>
          <w:highlight w:val="none"/>
        </w:rPr>
        <w:t>时至</w:t>
      </w:r>
      <w:r>
        <w:rPr>
          <w:rFonts w:hint="eastAsia" w:ascii="仿宋_GB2312" w:hAnsi="仿宋_GB2312" w:eastAsia="仿宋_GB2312" w:cs="仿宋_GB2312"/>
          <w:sz w:val="32"/>
          <w:szCs w:val="32"/>
          <w:highlight w:val="none"/>
          <w:lang w:val="en-US" w:eastAsia="zh-CN"/>
        </w:rPr>
        <w:t>2021年11月23日10</w:t>
      </w:r>
      <w:r>
        <w:rPr>
          <w:rFonts w:hint="eastAsia" w:ascii="仿宋_GB2312" w:hAnsi="仿宋_GB2312" w:eastAsia="仿宋_GB2312" w:cs="仿宋_GB2312"/>
          <w:sz w:val="32"/>
          <w:szCs w:val="32"/>
          <w:highlight w:val="none"/>
        </w:rPr>
        <w:t>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_GB2312" w:eastAsia="仿宋_GB2312" w:cs="仿宋_GB2312"/>
          <w:sz w:val="32"/>
          <w:szCs w:val="32"/>
          <w:lang w:val="en-US" w:eastAsia="zh-CN"/>
        </w:rPr>
        <w:t>1900</w:t>
      </w:r>
      <w:r>
        <w:rPr>
          <w:rFonts w:hint="eastAsia" w:ascii="仿宋_GB2312" w:hAnsi="仿宋_GB2312" w:eastAsia="仿宋_GB2312" w:cs="仿宋_GB2312"/>
          <w:sz w:val="32"/>
          <w:szCs w:val="32"/>
        </w:rPr>
        <w:t>万元，每次报价加价幅度为人民币50万元的整数倍。</w:t>
      </w:r>
    </w:p>
    <w:p>
      <w:pPr>
        <w:pStyle w:val="3"/>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四、中华人民共和国境内外的法人、自然人和其他组织（除法律法规另有规定外）均可申请参加竞买。申请人可以单独申请，也可以联合申请：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国有建设用地使用权出让合同》（以下简称《出让合同》），在竞得人按约定办理完新公司注册登记手续后，再与新公司签订国有建设用地使用权出让合同补充条款，也可按约定直接与新公司签订《出让合同》；</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 w:val="3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lang w:val="en-US" w:eastAsia="zh-CN"/>
        </w:rPr>
      </w:pPr>
      <w:r>
        <w:rPr>
          <w:rFonts w:hint="eastAsia" w:ascii="Times New Roman" w:hAnsi="Times New Roman" w:eastAsia="仿宋_GB2312" w:cs="Times New Roman"/>
          <w:kern w:val="2"/>
          <w:sz w:val="32"/>
          <w:szCs w:val="32"/>
          <w:lang w:val="en-US" w:eastAsia="zh-CN" w:bidi="ar-SA"/>
        </w:rPr>
        <w:t>五、该宗地竞买保证金可用人民币及外币（暂限于美元、港币）支付。</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六</w:t>
      </w:r>
      <w:r>
        <w:rPr>
          <w:rFonts w:hint="eastAsia" w:ascii="仿宋_GB2312" w:hAnsi="仿宋_GB2312" w:eastAsia="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一）缴交竞买保证金</w:t>
      </w:r>
      <w:r>
        <w:rPr>
          <w:rFonts w:hint="eastAsia" w:hAnsi="仿宋_GB2312" w:cs="仿宋_GB2312"/>
          <w:szCs w:val="32"/>
          <w:lang w:val="en-US" w:eastAsia="zh-CN"/>
        </w:rPr>
        <w:t>510</w:t>
      </w:r>
      <w:r>
        <w:rPr>
          <w:rFonts w:hint="eastAsia" w:ascii="仿宋_GB2312" w:hAnsi="仿宋_GB2312" w:eastAsia="仿宋_GB2312" w:cs="仿宋_GB2312"/>
          <w:szCs w:val="32"/>
          <w:lang w:val="en-US" w:eastAsia="zh-CN"/>
        </w:rPr>
        <w:t>万元人民币，如以外币缴交竞买保证金的，须缴交美元</w:t>
      </w:r>
      <w:r>
        <w:rPr>
          <w:rFonts w:hint="eastAsia" w:hAnsi="仿宋_GB2312" w:cs="仿宋_GB2312"/>
          <w:szCs w:val="32"/>
          <w:lang w:val="en-US" w:eastAsia="zh-CN"/>
        </w:rPr>
        <w:t>80</w:t>
      </w:r>
      <w:r>
        <w:rPr>
          <w:rFonts w:hint="eastAsia" w:ascii="仿宋_GB2312" w:hAnsi="仿宋_GB2312" w:eastAsia="仿宋_GB2312" w:cs="仿宋_GB2312"/>
          <w:szCs w:val="32"/>
          <w:lang w:val="en-US" w:eastAsia="zh-CN"/>
        </w:rPr>
        <w:t>万元或港币</w:t>
      </w:r>
      <w:r>
        <w:rPr>
          <w:rFonts w:hint="eastAsia" w:hAnsi="仿宋_GB2312" w:cs="仿宋_GB2312"/>
          <w:szCs w:val="32"/>
          <w:lang w:val="en-US" w:eastAsia="zh-CN"/>
        </w:rPr>
        <w:t>616</w:t>
      </w:r>
      <w:r>
        <w:rPr>
          <w:rFonts w:hint="eastAsia" w:ascii="仿宋_GB2312" w:hAnsi="仿宋_GB2312" w:eastAsia="仿宋_GB2312" w:cs="仿宋_GB2312"/>
          <w:szCs w:val="32"/>
          <w:lang w:val="en-US" w:eastAsia="zh-CN"/>
        </w:rPr>
        <w:t>万元</w:t>
      </w:r>
      <w:r>
        <w:rPr>
          <w:rFonts w:hint="eastAsia" w:ascii="仿宋_GB2312" w:hAnsi="仿宋_GB2312" w:eastAsia="仿宋_GB2312" w:cs="仿宋_GB2312"/>
          <w:szCs w:val="32"/>
        </w:rPr>
        <w:t>。</w:t>
      </w:r>
    </w:p>
    <w:p>
      <w:pPr>
        <w:keepNext w:val="0"/>
        <w:keepLines w:val="0"/>
        <w:pageBreakBefore w:val="0"/>
        <w:widowControl/>
        <w:kinsoku/>
        <w:wordWrap/>
        <w:overflowPunct/>
        <w:topLinePunct w:val="0"/>
        <w:autoSpaceDE/>
        <w:autoSpaceDN/>
        <w:bidi w:val="0"/>
        <w:spacing w:line="640" w:lineRule="atLeast"/>
        <w:ind w:firstLine="640" w:firstLineChars="200"/>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（二）存在下列违法违规违约行为之一的企业及其控股股东，不得参与竞买上述地块：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存在其它被禁止竞买土地行为的。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、本次国有建设用地使用权网上挂牌出让，按照价高者得的原则确定竞得人。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、申请人应当在网上挂牌出让结束前登陆惠州市公共资源交易中心土地与矿业网上挂牌交易系统并在系统上向惠州市公共资源交易中心提交竞买申请并支付保证金。网上挂牌保证金到账截止时间为2021年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上午9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r>
        <w:rPr>
          <w:rFonts w:hint="eastAsia" w:ascii="仿宋_GB2312" w:hAnsi="仿宋_GB2312" w:eastAsia="仿宋_GB2312" w:cs="仿宋_GB2312"/>
          <w:sz w:val="32"/>
          <w:szCs w:val="32"/>
          <w:lang w:bidi="ar-SA"/>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w:t>
      </w:r>
      <w:r>
        <w:rPr>
          <w:rFonts w:hint="eastAsia" w:ascii="仿宋_GB2312" w:hAnsi="仿宋_GB2312" w:eastAsia="仿宋_GB2312" w:cs="仿宋_GB2312"/>
          <w:sz w:val="32"/>
          <w:szCs w:val="32"/>
          <w:highlight w:val="none"/>
          <w:lang w:val="en-US" w:eastAsia="zh-CN"/>
        </w:rPr>
        <w:t>交价的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highlight w:val="none"/>
          <w:lang w:val="en-US" w:eastAsia="zh-CN"/>
        </w:rPr>
        <w:t>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w:t>
      </w:r>
      <w:r>
        <w:rPr>
          <w:rFonts w:hint="eastAsia" w:ascii="仿宋_GB2312" w:hAnsi="仿宋_GB2312" w:eastAsia="仿宋_GB2312" w:cs="仿宋_GB2312"/>
          <w:sz w:val="32"/>
          <w:szCs w:val="32"/>
        </w:rPr>
        <w:t>余额转作土地成交价款。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以外币缴交竞买保证金的，扣除定金后余额部分返回给竞得人，待竞得人按时缴清土地成交价款后，再将定金退还，不计利息。</w:t>
      </w:r>
    </w:p>
    <w:p>
      <w:pPr>
        <w:keepNext w:val="0"/>
        <w:keepLines w:val="0"/>
        <w:pageBreakBefore w:val="0"/>
        <w:kinsoku/>
        <w:wordWrap/>
        <w:overflowPunct/>
        <w:topLinePunct w:val="0"/>
        <w:autoSpaceDE/>
        <w:autoSpaceDN/>
        <w:bidi w:val="0"/>
        <w:spacing w:line="640" w:lineRule="atLeas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（一）开发投资总额不少于</w:t>
      </w:r>
      <w:r>
        <w:rPr>
          <w:rFonts w:hint="eastAsia" w:ascii="仿宋_GB2312" w:hAnsi="仿宋_GB2312" w:eastAsia="仿宋_GB2312" w:cs="仿宋_GB2312"/>
          <w:color w:val="auto"/>
          <w:sz w:val="32"/>
          <w:szCs w:val="32"/>
          <w:lang w:val="en-US" w:eastAsia="zh-CN"/>
        </w:rPr>
        <w:t>6400</w:t>
      </w:r>
      <w:r>
        <w:rPr>
          <w:rFonts w:hint="eastAsia" w:ascii="仿宋_GB2312" w:hAnsi="仿宋_GB2312" w:eastAsia="仿宋_GB2312" w:cs="仿宋_GB2312"/>
          <w:color w:val="auto"/>
          <w:sz w:val="32"/>
          <w:szCs w:val="32"/>
        </w:rPr>
        <w:t>万元（含地价，不含地价溢价部分）。</w:t>
      </w:r>
    </w:p>
    <w:p>
      <w:pPr>
        <w:spacing w:line="560" w:lineRule="exact"/>
        <w:ind w:firstLine="627" w:firstLineChars="196"/>
        <w:jc w:val="both"/>
        <w:rPr>
          <w:rFonts w:hint="eastAsia" w:eastAsia="仿宋_GB2312" w:cs="Times New Roman"/>
          <w:sz w:val="32"/>
          <w:szCs w:val="32"/>
          <w:lang w:bidi="ar-SA"/>
        </w:rPr>
      </w:pPr>
      <w:r>
        <w:rPr>
          <w:rFonts w:hint="eastAsia" w:ascii="仿宋_GB2312" w:hAnsi="仿宋_GB2312" w:eastAsia="仿宋_GB2312" w:cs="仿宋_GB2312"/>
          <w:color w:val="auto"/>
          <w:sz w:val="32"/>
          <w:szCs w:val="32"/>
        </w:rPr>
        <w:t>（二）</w:t>
      </w:r>
      <w:r>
        <w:rPr>
          <w:rFonts w:hint="eastAsia" w:eastAsia="仿宋_GB2312" w:cs="Times New Roman"/>
          <w:sz w:val="32"/>
          <w:szCs w:val="32"/>
          <w:lang w:bidi="ar-SA"/>
        </w:rPr>
        <w:t>竞得人在用地红线内开发建设必须符合城市规划要求，必须按《建设用地规划设计条件》（案卷编号：</w:t>
      </w:r>
      <w:r>
        <w:rPr>
          <w:rFonts w:hint="eastAsia" w:ascii="仿宋_GB2312" w:hAnsi="仿宋_GB2312" w:eastAsia="仿宋_GB2312" w:cs="仿宋_GB2312"/>
          <w:sz w:val="32"/>
          <w:szCs w:val="32"/>
          <w:lang w:bidi="ar-SA"/>
        </w:rPr>
        <w:t>PB20210050</w:t>
      </w:r>
      <w:r>
        <w:rPr>
          <w:rFonts w:hint="eastAsia" w:eastAsia="仿宋_GB2312" w:cs="Times New Roman"/>
          <w:sz w:val="32"/>
          <w:szCs w:val="32"/>
          <w:lang w:bidi="ar-SA"/>
        </w:rPr>
        <w:t>）规划控制指标要求及有关规定进行规划设计；</w:t>
      </w:r>
    </w:p>
    <w:p>
      <w:pPr>
        <w:spacing w:line="560" w:lineRule="exact"/>
        <w:ind w:firstLine="627" w:firstLineChars="196"/>
        <w:jc w:val="both"/>
        <w:rPr>
          <w:rFonts w:hint="eastAsia" w:ascii="Times New Roman" w:hAnsi="Times New Roman" w:eastAsia="仿宋_GB2312" w:cs="Times New Roman"/>
          <w:kern w:val="2"/>
          <w:sz w:val="32"/>
          <w:szCs w:val="32"/>
          <w:lang w:val="en-US" w:eastAsia="zh-CN" w:bidi="ar-SA"/>
        </w:rPr>
      </w:pPr>
      <w:r>
        <w:rPr>
          <w:rFonts w:hint="eastAsia" w:eastAsia="仿宋_GB2312" w:cs="Times New Roman"/>
          <w:sz w:val="32"/>
          <w:szCs w:val="32"/>
          <w:lang w:bidi="ar-SA"/>
        </w:rPr>
        <w:t>（三）竞得人须负责建设运动场（室外跑道、足球场、看台），并无偿移交给政府相关部门；</w:t>
      </w:r>
    </w:p>
    <w:p>
      <w:pPr>
        <w:spacing w:line="560" w:lineRule="exact"/>
        <w:ind w:firstLine="627" w:firstLineChars="196"/>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四</w:t>
      </w:r>
      <w:r>
        <w:rPr>
          <w:rFonts w:hint="eastAsia" w:ascii="Times New Roman" w:hAnsi="Times New Roman" w:eastAsia="仿宋_GB2312" w:cs="Times New Roman"/>
          <w:kern w:val="2"/>
          <w:sz w:val="32"/>
          <w:szCs w:val="32"/>
          <w:lang w:val="en-US" w:eastAsia="zh-CN" w:bidi="ar-SA"/>
        </w:rPr>
        <w:t>）土地成交价款须以人民币支付，竞得人须在签订《出让合同》之日起一个月内缴清土地成交价款。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五</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bidi="ar-SA"/>
        </w:rPr>
        <w:t>该地属政府储备地，没有法律经济纠纷，具备动工开发所必须的基本条件</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（六）竞得人有下列行为之一的，取消竞得人资格，竞买保证金不予退还，并由有关部门依法处理；造成损失的，竞得人还应依法承担赔偿责任：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sz w:val="32"/>
          <w:szCs w:val="32"/>
        </w:rPr>
        <w:t>惠州市江北三新南路7号</w:t>
      </w:r>
    </w:p>
    <w:p>
      <w:pPr>
        <w:spacing w:line="520" w:lineRule="exact"/>
        <w:ind w:right="64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联系人：王工</w:t>
      </w:r>
    </w:p>
    <w:p>
      <w:pPr>
        <w:spacing w:line="520" w:lineRule="exact"/>
        <w:ind w:right="64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联系电话：（0752）289631</w:t>
      </w:r>
      <w:r>
        <w:rPr>
          <w:rFonts w:hint="eastAsia" w:ascii="仿宋_GB2312" w:hAnsi="仿宋_GB2312" w:eastAsia="仿宋_GB2312" w:cs="仿宋_GB2312"/>
          <w:color w:val="auto"/>
          <w:kern w:val="2"/>
          <w:sz w:val="32"/>
          <w:szCs w:val="32"/>
          <w:highlight w:val="none"/>
          <w:lang w:val="en-US" w:eastAsia="zh-CN" w:bidi="ar-SA"/>
        </w:rPr>
        <w:t>3</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袁小姐、杨小姐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color w:val="auto"/>
          <w:kern w:val="2"/>
          <w:sz w:val="32"/>
          <w:szCs w:val="32"/>
          <w:highlight w:val="none"/>
          <w:lang w:val="en-US" w:eastAsia="zh-CN" w:bidi="ar-SA"/>
        </w:rPr>
        <w:t>（0752）7121026、7121036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hint="eastAsia" w:ascii="仿宋_GB2312" w:hAnsi="仿宋_GB2312" w:eastAsia="仿宋_GB2312" w:cs="仿宋_GB2312"/>
          <w:color w:val="696969"/>
          <w:sz w:val="32"/>
          <w:szCs w:val="32"/>
        </w:rPr>
      </w:pPr>
      <w:r>
        <w:rPr>
          <w:rFonts w:hint="eastAsia" w:ascii="仿宋_GB2312" w:hAnsi="仿宋_GB2312" w:eastAsia="仿宋_GB2312" w:cs="仿宋_GB2312"/>
          <w:sz w:val="32"/>
          <w:szCs w:val="32"/>
        </w:rPr>
        <w:t>数字证书办理地址：广东省惠州市惠城区三新北路31号市民服务中心3号楼惠州市公共资源交易中心一楼大厅1号土地与矿业交易窗口</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罗工</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rPr>
        <w:t>0752-7121029</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惠州市公共资源交易中心</w:t>
      </w:r>
    </w:p>
    <w:p>
      <w:pPr>
        <w:keepNext w:val="0"/>
        <w:keepLines w:val="0"/>
        <w:pageBreakBefore w:val="0"/>
        <w:widowControl w:val="0"/>
        <w:kinsoku/>
        <w:wordWrap/>
        <w:overflowPunct/>
        <w:topLinePunct w:val="0"/>
        <w:bidi w:val="0"/>
        <w:spacing w:line="560" w:lineRule="exact"/>
        <w:ind w:firstLine="5120" w:firstLineChars="1600"/>
        <w:jc w:val="both"/>
        <w:textAlignment w:val="auto"/>
        <w:rPr>
          <w:rFonts w:hint="eastAsia" w:ascii="仿宋_GB2312" w:hAnsi="仿宋_GB2312" w:eastAsia="仿宋_GB2312" w:cs="仿宋_GB2312"/>
          <w:sz w:val="32"/>
          <w:szCs w:val="32"/>
          <w:highlight w:val="none"/>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2021年10月18日</w:t>
      </w:r>
    </w:p>
    <w:p>
      <w:pPr>
        <w:spacing w:line="360" w:lineRule="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附表</w:t>
      </w:r>
    </w:p>
    <w:p>
      <w:pPr>
        <w:tabs>
          <w:tab w:val="left" w:pos="9720"/>
        </w:tabs>
        <w:spacing w:line="360" w:lineRule="auto"/>
        <w:jc w:val="center"/>
        <w:rPr>
          <w:rFonts w:hint="default" w:ascii="Times New Roman" w:hAnsi="Times New Roman" w:eastAsia="方正小标宋_GBK" w:cs="Times New Roman"/>
          <w:b/>
          <w:sz w:val="36"/>
          <w:szCs w:val="36"/>
        </w:rPr>
      </w:pPr>
      <w:r>
        <w:rPr>
          <w:rFonts w:hint="default" w:ascii="Times New Roman" w:hAnsi="Times New Roman" w:eastAsia="方正小标宋_GBK" w:cs="Times New Roman"/>
          <w:b/>
          <w:sz w:val="36"/>
          <w:szCs w:val="36"/>
        </w:rPr>
        <w:t>网上挂牌出让地块规划建设指标</w:t>
      </w:r>
    </w:p>
    <w:tbl>
      <w:tblPr>
        <w:tblStyle w:val="9"/>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38"/>
        <w:gridCol w:w="507"/>
        <w:gridCol w:w="422"/>
        <w:gridCol w:w="699"/>
        <w:gridCol w:w="614"/>
        <w:gridCol w:w="834"/>
        <w:gridCol w:w="1003"/>
        <w:gridCol w:w="864"/>
        <w:gridCol w:w="657"/>
        <w:gridCol w:w="715"/>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817"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挂牌地块编号</w:t>
            </w:r>
          </w:p>
        </w:tc>
        <w:tc>
          <w:tcPr>
            <w:tcW w:w="738"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位置</w:t>
            </w:r>
          </w:p>
        </w:tc>
        <w:tc>
          <w:tcPr>
            <w:tcW w:w="507"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rPr>
            </w:pPr>
            <w:r>
              <w:rPr>
                <w:rFonts w:hint="eastAsia" w:ascii="Times New Roman" w:hAnsi="Times New Roman" w:eastAsia="仿宋_GB2312" w:cs="Times New Roman"/>
                <w:b/>
                <w:bCs/>
                <w:szCs w:val="21"/>
                <w:lang w:eastAsia="zh-CN"/>
              </w:rPr>
              <w:t>用地</w:t>
            </w:r>
            <w:r>
              <w:rPr>
                <w:rFonts w:hint="default" w:ascii="Times New Roman" w:hAnsi="Times New Roman" w:eastAsia="仿宋_GB2312" w:cs="Times New Roman"/>
                <w:b/>
                <w:bCs/>
                <w:szCs w:val="21"/>
              </w:rPr>
              <w:t>编号</w:t>
            </w:r>
          </w:p>
        </w:tc>
        <w:tc>
          <w:tcPr>
            <w:tcW w:w="422"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用途</w:t>
            </w:r>
          </w:p>
        </w:tc>
        <w:tc>
          <w:tcPr>
            <w:tcW w:w="699" w:type="dxa"/>
            <w:vMerge w:val="restart"/>
            <w:vAlign w:val="center"/>
          </w:tcPr>
          <w:p>
            <w:pPr>
              <w:adjustRightInd w:val="0"/>
              <w:snapToGrid w:val="0"/>
              <w:spacing w:line="320" w:lineRule="exact"/>
              <w:jc w:val="center"/>
              <w:rPr>
                <w:rFonts w:hint="eastAsia" w:ascii="Times New Roman" w:hAnsi="Times New Roman" w:eastAsia="宋体" w:cs="Times New Roman"/>
                <w:b/>
                <w:bCs/>
                <w:szCs w:val="21"/>
                <w:lang w:val="en-US" w:eastAsia="zh-CN"/>
              </w:rPr>
            </w:pPr>
            <w:r>
              <w:rPr>
                <w:rFonts w:hint="eastAsia" w:eastAsia="仿宋_GB2312" w:cs="Times New Roman"/>
                <w:b/>
                <w:bCs/>
                <w:szCs w:val="21"/>
                <w:lang w:val="en-US" w:eastAsia="zh-CN"/>
              </w:rPr>
              <w:t>地下室宗地使用权面积（</w:t>
            </w:r>
            <w:r>
              <w:rPr>
                <w:rFonts w:hint="default" w:ascii="Times New Roman" w:hAnsi="Times New Roman" w:cs="Times New Roman"/>
                <w:b/>
                <w:bCs/>
                <w:szCs w:val="21"/>
              </w:rPr>
              <w:t>㎡</w:t>
            </w:r>
            <w:r>
              <w:rPr>
                <w:rFonts w:hint="eastAsia" w:cs="Times New Roman"/>
                <w:b/>
                <w:bCs/>
                <w:szCs w:val="21"/>
                <w:lang w:eastAsia="zh-CN"/>
              </w:rPr>
              <w:t>）</w:t>
            </w:r>
          </w:p>
        </w:tc>
        <w:tc>
          <w:tcPr>
            <w:tcW w:w="4687" w:type="dxa"/>
            <w:gridSpan w:val="6"/>
            <w:vAlign w:val="center"/>
          </w:tcPr>
          <w:p>
            <w:pPr>
              <w:adjustRightInd w:val="0"/>
              <w:snapToGrid w:val="0"/>
              <w:spacing w:line="320" w:lineRule="exact"/>
              <w:ind w:left="-27" w:leftChars="-51" w:hanging="80" w:hangingChars="38"/>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规划指标要求</w:t>
            </w:r>
          </w:p>
        </w:tc>
        <w:tc>
          <w:tcPr>
            <w:tcW w:w="948" w:type="dxa"/>
            <w:tcBorders>
              <w:bottom w:val="nil"/>
            </w:tcBorders>
            <w:vAlign w:val="center"/>
          </w:tcPr>
          <w:p>
            <w:pPr>
              <w:adjustRightInd w:val="0"/>
              <w:snapToGrid w:val="0"/>
              <w:spacing w:line="320" w:lineRule="exact"/>
              <w:ind w:left="-27" w:leftChars="-51" w:hanging="80" w:hangingChars="38"/>
              <w:jc w:val="center"/>
              <w:rPr>
                <w:rFonts w:hint="default" w:ascii="Times New Roman" w:hAnsi="Times New Roman" w:eastAsia="仿宋_GB2312"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3" w:hRule="atLeast"/>
        </w:trPr>
        <w:tc>
          <w:tcPr>
            <w:tcW w:w="817"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738"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507"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422"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699"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614" w:type="dxa"/>
            <w:vAlign w:val="center"/>
          </w:tcPr>
          <w:p>
            <w:pPr>
              <w:spacing w:line="320" w:lineRule="exact"/>
              <w:jc w:val="center"/>
              <w:rPr>
                <w:rFonts w:hint="default" w:ascii="Times New Roman" w:hAnsi="Times New Roman" w:eastAsia="仿宋_GB2312" w:cs="Times New Roman"/>
                <w:b/>
                <w:bCs/>
              </w:rPr>
            </w:pPr>
            <w:r>
              <w:rPr>
                <w:rFonts w:hint="default" w:ascii="Times New Roman" w:hAnsi="Times New Roman" w:eastAsia="仿宋_GB2312" w:cs="Times New Roman"/>
                <w:b/>
                <w:bCs/>
              </w:rPr>
              <w:t>建筑密度（%）</w:t>
            </w:r>
          </w:p>
        </w:tc>
        <w:tc>
          <w:tcPr>
            <w:tcW w:w="834" w:type="dxa"/>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计算指标用地面积（</w:t>
            </w:r>
            <w:r>
              <w:rPr>
                <w:rFonts w:hint="default" w:ascii="Times New Roman" w:hAnsi="Times New Roman" w:cs="Times New Roman"/>
                <w:b/>
                <w:bCs/>
                <w:szCs w:val="21"/>
              </w:rPr>
              <w:t>㎡</w:t>
            </w:r>
            <w:r>
              <w:rPr>
                <w:rFonts w:hint="default" w:ascii="Times New Roman" w:hAnsi="Times New Roman" w:eastAsia="仿宋_GB2312" w:cs="Times New Roman"/>
                <w:b/>
                <w:bCs/>
                <w:szCs w:val="21"/>
              </w:rPr>
              <w:t>）</w:t>
            </w:r>
          </w:p>
        </w:tc>
        <w:tc>
          <w:tcPr>
            <w:tcW w:w="1003" w:type="dxa"/>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容积率</w:t>
            </w:r>
          </w:p>
        </w:tc>
        <w:tc>
          <w:tcPr>
            <w:tcW w:w="864" w:type="dxa"/>
            <w:vAlign w:val="center"/>
          </w:tcPr>
          <w:p>
            <w:pPr>
              <w:spacing w:line="320" w:lineRule="exact"/>
              <w:ind w:left="44" w:right="-53" w:rightChars="-25" w:hanging="44" w:hangingChars="21"/>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计容积率建筑面积（</w:t>
            </w:r>
            <w:r>
              <w:rPr>
                <w:rFonts w:hint="default" w:ascii="Times New Roman" w:hAnsi="Times New Roman" w:cs="Times New Roman"/>
                <w:b/>
                <w:bCs/>
                <w:szCs w:val="21"/>
              </w:rPr>
              <w:t>㎡</w:t>
            </w:r>
            <w:r>
              <w:rPr>
                <w:rFonts w:hint="default" w:ascii="Times New Roman" w:hAnsi="Times New Roman" w:eastAsia="仿宋_GB2312" w:cs="Times New Roman"/>
                <w:b/>
                <w:bCs/>
                <w:szCs w:val="21"/>
              </w:rPr>
              <w:t>）</w:t>
            </w:r>
          </w:p>
        </w:tc>
        <w:tc>
          <w:tcPr>
            <w:tcW w:w="657" w:type="dxa"/>
            <w:vAlign w:val="center"/>
          </w:tcPr>
          <w:p>
            <w:pPr>
              <w:spacing w:line="320" w:lineRule="exact"/>
              <w:ind w:left="44" w:right="-53" w:rightChars="-25" w:hanging="44" w:hangingChars="21"/>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适建性</w:t>
            </w:r>
          </w:p>
        </w:tc>
        <w:tc>
          <w:tcPr>
            <w:tcW w:w="715" w:type="dxa"/>
            <w:vAlign w:val="center"/>
          </w:tcPr>
          <w:p>
            <w:pPr>
              <w:adjustRightInd w:val="0"/>
              <w:snapToGrid w:val="0"/>
              <w:spacing w:line="320" w:lineRule="exact"/>
              <w:ind w:left="-27" w:leftChars="-51" w:hanging="80" w:hangingChars="38"/>
              <w:jc w:val="center"/>
              <w:rPr>
                <w:rFonts w:hint="default" w:ascii="Times New Roman" w:hAnsi="Times New Roman" w:eastAsia="仿宋_GB2312" w:cs="Times New Roman"/>
                <w:b/>
                <w:bCs/>
              </w:rPr>
            </w:pPr>
            <w:r>
              <w:rPr>
                <w:rFonts w:hint="eastAsia" w:eastAsia="仿宋_GB2312" w:cs="Times New Roman"/>
                <w:b/>
                <w:bCs/>
                <w:lang w:val="en-US" w:eastAsia="zh-CN"/>
              </w:rPr>
              <w:t xml:space="preserve"> </w:t>
            </w:r>
            <w:r>
              <w:rPr>
                <w:rFonts w:hint="default" w:ascii="Times New Roman" w:hAnsi="Times New Roman" w:eastAsia="仿宋_GB2312" w:cs="Times New Roman"/>
                <w:b/>
                <w:bCs/>
              </w:rPr>
              <w:t>机动车停车位（个）</w:t>
            </w:r>
          </w:p>
        </w:tc>
        <w:tc>
          <w:tcPr>
            <w:tcW w:w="948" w:type="dxa"/>
            <w:tcBorders>
              <w:top w:val="nil"/>
            </w:tcBorders>
            <w:vAlign w:val="center"/>
          </w:tcPr>
          <w:p>
            <w:pPr>
              <w:adjustRightInd w:val="0"/>
              <w:snapToGrid w:val="0"/>
              <w:spacing w:line="320" w:lineRule="exact"/>
              <w:ind w:left="-27" w:leftChars="-51" w:hanging="80" w:hangingChars="38"/>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出让</w:t>
            </w:r>
          </w:p>
          <w:p>
            <w:pPr>
              <w:adjustRightInd w:val="0"/>
              <w:snapToGrid w:val="0"/>
              <w:spacing w:line="320" w:lineRule="exact"/>
              <w:jc w:val="center"/>
              <w:rPr>
                <w:rFonts w:hint="default" w:ascii="Times New Roman" w:hAnsi="Times New Roman" w:eastAsia="仿宋_GB2312" w:cs="Times New Roman"/>
                <w:b/>
                <w:bCs/>
              </w:rPr>
            </w:pPr>
            <w:r>
              <w:rPr>
                <w:rFonts w:hint="default" w:ascii="Times New Roman" w:hAnsi="Times New Roman" w:eastAsia="仿宋_GB2312" w:cs="Times New Roman"/>
                <w:b/>
                <w:bCs/>
                <w:szCs w:val="21"/>
              </w:rPr>
              <w:t>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7" w:hRule="atLeast"/>
        </w:trPr>
        <w:tc>
          <w:tcPr>
            <w:tcW w:w="817" w:type="dxa"/>
            <w:vMerge w:val="restart"/>
            <w:tcMar>
              <w:left w:w="0" w:type="dxa"/>
              <w:right w:w="0" w:type="dxa"/>
            </w:tcMar>
            <w:vAlign w:val="center"/>
          </w:tcPr>
          <w:p>
            <w:pPr>
              <w:jc w:val="center"/>
              <w:rPr>
                <w:rFonts w:hint="default" w:ascii="Times New Roman" w:hAnsi="Times New Roman" w:eastAsia="仿宋_GB2312" w:cs="Times New Roman"/>
                <w:color w:val="000000"/>
                <w:szCs w:val="21"/>
                <w:lang w:val="en-US" w:eastAsia="zh-CN" w:bidi="ar-SA"/>
              </w:rPr>
            </w:pPr>
            <w:r>
              <w:rPr>
                <w:rFonts w:hint="default" w:ascii="Times New Roman" w:hAnsi="Times New Roman" w:eastAsia="仿宋_GB2312" w:cs="Times New Roman"/>
                <w:color w:val="000000"/>
                <w:szCs w:val="21"/>
                <w:lang w:val="en-US" w:eastAsia="zh-CN" w:bidi="ar-SA"/>
              </w:rPr>
              <w:t>GP2021-</w:t>
            </w:r>
            <w:r>
              <w:rPr>
                <w:rFonts w:hint="eastAsia" w:ascii="Times New Roman" w:hAnsi="Times New Roman" w:eastAsia="仿宋_GB2312" w:cs="Times New Roman"/>
                <w:color w:val="000000"/>
                <w:szCs w:val="21"/>
                <w:lang w:val="en-US" w:eastAsia="zh-CN" w:bidi="ar-SA"/>
              </w:rPr>
              <w:t>40</w:t>
            </w:r>
            <w:bookmarkStart w:id="0" w:name="_GoBack"/>
            <w:bookmarkEnd w:id="0"/>
            <w:r>
              <w:rPr>
                <w:rFonts w:hint="default" w:ascii="Times New Roman" w:hAnsi="Times New Roman" w:eastAsia="仿宋_GB2312" w:cs="Times New Roman"/>
                <w:color w:val="000000"/>
                <w:szCs w:val="21"/>
                <w:lang w:val="en-US" w:eastAsia="zh-CN" w:bidi="ar-SA"/>
              </w:rPr>
              <w:t xml:space="preserve">  </w:t>
            </w:r>
          </w:p>
        </w:tc>
        <w:tc>
          <w:tcPr>
            <w:tcW w:w="738" w:type="dxa"/>
            <w:vMerge w:val="restart"/>
            <w:vAlign w:val="center"/>
          </w:tcPr>
          <w:p>
            <w:pPr>
              <w:jc w:val="center"/>
              <w:rPr>
                <w:rFonts w:hint="default" w:ascii="Times New Roman" w:hAnsi="Times New Roman" w:eastAsia="仿宋_GB2312" w:cs="Times New Roman"/>
                <w:color w:val="000000"/>
                <w:szCs w:val="21"/>
                <w:lang w:val="en-US" w:eastAsia="zh-CN" w:bidi="ar-SA"/>
              </w:rPr>
            </w:pPr>
            <w:r>
              <w:rPr>
                <w:rFonts w:hint="default" w:ascii="Times New Roman" w:hAnsi="Times New Roman" w:eastAsia="仿宋_GB2312" w:cs="Times New Roman"/>
                <w:color w:val="000000"/>
                <w:szCs w:val="21"/>
                <w:lang w:val="en-US" w:eastAsia="zh-CN" w:bidi="ar-SA"/>
              </w:rPr>
              <w:t>惠州市惠城区江北片区JB24-3-2A地块</w:t>
            </w:r>
            <w:r>
              <w:rPr>
                <w:rFonts w:hint="eastAsia" w:eastAsia="仿宋_GB2312" w:cs="Times New Roman"/>
                <w:color w:val="000000"/>
                <w:szCs w:val="21"/>
                <w:lang w:val="en-US" w:eastAsia="zh-CN" w:bidi="ar-SA"/>
              </w:rPr>
              <w:t>（地下空间）</w:t>
            </w:r>
          </w:p>
        </w:tc>
        <w:tc>
          <w:tcPr>
            <w:tcW w:w="507" w:type="dxa"/>
            <w:vMerge w:val="restart"/>
            <w:vAlign w:val="center"/>
          </w:tcPr>
          <w:p>
            <w:pPr>
              <w:jc w:val="center"/>
              <w:rPr>
                <w:rFonts w:hint="default" w:ascii="Times New Roman" w:hAnsi="Times New Roman" w:eastAsia="仿宋_GB2312" w:cs="Times New Roman"/>
                <w:color w:val="000000"/>
                <w:szCs w:val="21"/>
                <w:lang w:val="en-US" w:eastAsia="zh-CN" w:bidi="ar-SA"/>
              </w:rPr>
            </w:pPr>
            <w:r>
              <w:rPr>
                <w:rFonts w:hint="default" w:ascii="Times New Roman" w:hAnsi="Times New Roman" w:eastAsia="仿宋_GB2312" w:cs="Times New Roman"/>
                <w:color w:val="000000"/>
                <w:szCs w:val="21"/>
                <w:lang w:val="en-US" w:eastAsia="zh-CN" w:bidi="ar-SA"/>
              </w:rPr>
              <w:t>JB24-3-2A</w:t>
            </w:r>
          </w:p>
        </w:tc>
        <w:tc>
          <w:tcPr>
            <w:tcW w:w="422" w:type="dxa"/>
            <w:vMerge w:val="restart"/>
            <w:tcMar>
              <w:left w:w="0" w:type="dxa"/>
              <w:right w:w="0" w:type="dxa"/>
            </w:tcMar>
            <w:vAlign w:val="center"/>
          </w:tcPr>
          <w:p>
            <w:pPr>
              <w:jc w:val="center"/>
              <w:rPr>
                <w:rFonts w:hint="default" w:ascii="Times New Roman" w:hAnsi="Times New Roman" w:eastAsia="仿宋_GB2312" w:cs="Times New Roman"/>
                <w:color w:val="000000"/>
                <w:szCs w:val="21"/>
                <w:lang w:val="en-US" w:eastAsia="zh-CN" w:bidi="ar-SA"/>
              </w:rPr>
            </w:pPr>
            <w:r>
              <w:rPr>
                <w:rFonts w:hint="default" w:ascii="Times New Roman" w:hAnsi="Times New Roman" w:eastAsia="仿宋_GB2312" w:cs="Times New Roman"/>
                <w:color w:val="000000"/>
                <w:szCs w:val="21"/>
                <w:lang w:val="en-US" w:eastAsia="zh-CN" w:bidi="ar-SA"/>
              </w:rPr>
              <w:t>交通服务场站用地</w:t>
            </w:r>
          </w:p>
        </w:tc>
        <w:tc>
          <w:tcPr>
            <w:tcW w:w="699" w:type="dxa"/>
            <w:vMerge w:val="restart"/>
            <w:tcMar>
              <w:left w:w="0" w:type="dxa"/>
              <w:right w:w="0" w:type="dxa"/>
            </w:tcMar>
            <w:vAlign w:val="center"/>
          </w:tcPr>
          <w:p>
            <w:pPr>
              <w:jc w:val="center"/>
              <w:rPr>
                <w:rFonts w:hint="default" w:ascii="Times New Roman" w:hAnsi="Times New Roman" w:eastAsia="仿宋_GB2312" w:cs="Times New Roman"/>
                <w:color w:val="000000"/>
                <w:szCs w:val="21"/>
                <w:lang w:val="en-US" w:eastAsia="zh-CN" w:bidi="ar-SA"/>
              </w:rPr>
            </w:pPr>
            <w:r>
              <w:rPr>
                <w:rFonts w:hint="default" w:ascii="Times New Roman" w:hAnsi="Times New Roman" w:eastAsia="仿宋_GB2312" w:cs="Times New Roman"/>
                <w:color w:val="000000"/>
                <w:szCs w:val="21"/>
                <w:lang w:val="en-US" w:eastAsia="zh-CN" w:bidi="ar-SA"/>
              </w:rPr>
              <w:t>7984.93</w:t>
            </w:r>
          </w:p>
        </w:tc>
        <w:tc>
          <w:tcPr>
            <w:tcW w:w="614" w:type="dxa"/>
            <w:vMerge w:val="restart"/>
            <w:vAlign w:val="center"/>
          </w:tcPr>
          <w:p>
            <w:pPr>
              <w:jc w:val="center"/>
              <w:rPr>
                <w:rFonts w:hint="default" w:ascii="Times New Roman" w:hAnsi="Times New Roman" w:eastAsia="仿宋_GB2312" w:cs="Times New Roman"/>
                <w:color w:val="000000"/>
                <w:szCs w:val="21"/>
                <w:lang w:val="en-US" w:eastAsia="zh-CN" w:bidi="ar-SA"/>
              </w:rPr>
            </w:pPr>
            <w:r>
              <w:rPr>
                <w:rFonts w:hint="default" w:ascii="Times New Roman" w:hAnsi="Times New Roman" w:eastAsia="仿宋_GB2312" w:cs="Times New Roman"/>
                <w:color w:val="000000"/>
                <w:szCs w:val="21"/>
                <w:lang w:val="en-US" w:eastAsia="zh-CN" w:bidi="ar-SA"/>
              </w:rPr>
              <w:t>≤5</w:t>
            </w:r>
          </w:p>
        </w:tc>
        <w:tc>
          <w:tcPr>
            <w:tcW w:w="834" w:type="dxa"/>
            <w:vMerge w:val="restart"/>
            <w:vAlign w:val="center"/>
          </w:tcPr>
          <w:p>
            <w:pPr>
              <w:jc w:val="center"/>
              <w:rPr>
                <w:rFonts w:hint="default" w:ascii="Times New Roman" w:hAnsi="Times New Roman" w:eastAsia="仿宋_GB2312" w:cs="Times New Roman"/>
                <w:color w:val="000000"/>
                <w:szCs w:val="21"/>
                <w:lang w:val="en-US" w:eastAsia="zh-CN" w:bidi="ar-SA"/>
              </w:rPr>
            </w:pPr>
            <w:r>
              <w:rPr>
                <w:rFonts w:hint="default" w:ascii="Times New Roman" w:hAnsi="Times New Roman" w:eastAsia="仿宋_GB2312" w:cs="Times New Roman"/>
                <w:color w:val="000000"/>
                <w:szCs w:val="21"/>
                <w:lang w:val="en-US" w:eastAsia="zh-CN" w:bidi="ar-SA"/>
              </w:rPr>
              <w:t>10986</w:t>
            </w:r>
          </w:p>
        </w:tc>
        <w:tc>
          <w:tcPr>
            <w:tcW w:w="1003" w:type="dxa"/>
            <w:vMerge w:val="restart"/>
            <w:vAlign w:val="center"/>
          </w:tcPr>
          <w:p>
            <w:pPr>
              <w:jc w:val="center"/>
              <w:rPr>
                <w:rFonts w:hint="default" w:ascii="Times New Roman" w:hAnsi="Times New Roman" w:eastAsia="仿宋_GB2312" w:cs="Times New Roman"/>
                <w:color w:val="000000"/>
                <w:szCs w:val="21"/>
                <w:lang w:val="en-US" w:eastAsia="zh-CN" w:bidi="ar-SA"/>
              </w:rPr>
            </w:pPr>
            <w:r>
              <w:rPr>
                <w:rFonts w:hint="default" w:ascii="Times New Roman" w:hAnsi="Times New Roman" w:eastAsia="仿宋_GB2312" w:cs="Times New Roman"/>
                <w:color w:val="000000"/>
                <w:szCs w:val="21"/>
                <w:lang w:val="en-US" w:eastAsia="zh-CN" w:bidi="ar-SA"/>
              </w:rPr>
              <w:t>≤0.08</w:t>
            </w:r>
          </w:p>
        </w:tc>
        <w:tc>
          <w:tcPr>
            <w:tcW w:w="864" w:type="dxa"/>
            <w:vMerge w:val="restart"/>
            <w:vAlign w:val="center"/>
          </w:tcPr>
          <w:p>
            <w:pPr>
              <w:jc w:val="center"/>
              <w:rPr>
                <w:rFonts w:hint="default" w:ascii="Times New Roman" w:hAnsi="Times New Roman" w:eastAsia="仿宋_GB2312" w:cs="Times New Roman"/>
                <w:color w:val="000000"/>
                <w:szCs w:val="21"/>
                <w:lang w:val="en-US" w:eastAsia="zh-CN" w:bidi="ar-SA"/>
              </w:rPr>
            </w:pPr>
            <w:r>
              <w:rPr>
                <w:rFonts w:hint="default" w:ascii="Times New Roman" w:hAnsi="Times New Roman" w:eastAsia="仿宋_GB2312" w:cs="Times New Roman"/>
                <w:color w:val="000000"/>
                <w:szCs w:val="21"/>
                <w:lang w:val="en-US" w:eastAsia="zh-CN" w:bidi="ar-SA"/>
              </w:rPr>
              <w:t>≤878</w:t>
            </w:r>
          </w:p>
        </w:tc>
        <w:tc>
          <w:tcPr>
            <w:tcW w:w="657" w:type="dxa"/>
            <w:vMerge w:val="restart"/>
            <w:vAlign w:val="center"/>
          </w:tcPr>
          <w:p>
            <w:pPr>
              <w:jc w:val="center"/>
              <w:rPr>
                <w:rFonts w:hint="default" w:ascii="Times New Roman" w:hAnsi="Times New Roman" w:eastAsia="仿宋_GB2312" w:cs="Times New Roman"/>
                <w:color w:val="000000"/>
                <w:szCs w:val="21"/>
                <w:lang w:val="en-US" w:eastAsia="zh-CN" w:bidi="ar-SA"/>
              </w:rPr>
            </w:pPr>
            <w:r>
              <w:rPr>
                <w:rFonts w:hint="default" w:ascii="Times New Roman" w:hAnsi="Times New Roman" w:eastAsia="仿宋_GB2312" w:cs="Times New Roman"/>
                <w:color w:val="000000"/>
                <w:szCs w:val="21"/>
                <w:lang w:val="en-US" w:eastAsia="zh-CN" w:bidi="ar-SA"/>
              </w:rPr>
              <w:t>地面运动场、</w:t>
            </w:r>
          </w:p>
          <w:p>
            <w:pPr>
              <w:jc w:val="center"/>
              <w:rPr>
                <w:rFonts w:hint="default" w:ascii="Times New Roman" w:hAnsi="Times New Roman" w:eastAsia="仿宋_GB2312" w:cs="Times New Roman"/>
                <w:color w:val="000000"/>
                <w:szCs w:val="21"/>
                <w:lang w:val="en-US" w:eastAsia="zh-CN" w:bidi="ar-SA"/>
              </w:rPr>
            </w:pPr>
            <w:r>
              <w:rPr>
                <w:rFonts w:hint="default" w:ascii="Times New Roman" w:hAnsi="Times New Roman" w:eastAsia="仿宋_GB2312" w:cs="Times New Roman"/>
                <w:color w:val="000000"/>
                <w:szCs w:val="21"/>
                <w:lang w:val="en-US" w:eastAsia="zh-CN" w:bidi="ar-SA"/>
              </w:rPr>
              <w:t>地下二层自走式停车库</w:t>
            </w:r>
          </w:p>
          <w:p>
            <w:pPr>
              <w:jc w:val="center"/>
              <w:rPr>
                <w:rFonts w:hint="default" w:ascii="Times New Roman" w:hAnsi="Times New Roman" w:eastAsia="仿宋_GB2312" w:cs="Times New Roman"/>
                <w:color w:val="000000"/>
                <w:szCs w:val="21"/>
                <w:lang w:val="en-US" w:eastAsia="zh-CN" w:bidi="ar-SA"/>
              </w:rPr>
            </w:pPr>
            <w:r>
              <w:rPr>
                <w:rFonts w:hint="default" w:ascii="Times New Roman" w:hAnsi="Times New Roman" w:eastAsia="仿宋_GB2312" w:cs="Times New Roman"/>
                <w:color w:val="000000"/>
                <w:szCs w:val="21"/>
                <w:lang w:val="en-US" w:eastAsia="zh-CN" w:bidi="ar-SA"/>
              </w:rPr>
              <w:t>及配套设施</w:t>
            </w:r>
          </w:p>
        </w:tc>
        <w:tc>
          <w:tcPr>
            <w:tcW w:w="715" w:type="dxa"/>
            <w:vMerge w:val="restart"/>
            <w:vAlign w:val="center"/>
          </w:tcPr>
          <w:p>
            <w:pPr>
              <w:jc w:val="center"/>
              <w:rPr>
                <w:rFonts w:hint="default" w:ascii="Times New Roman" w:hAnsi="Times New Roman" w:eastAsia="仿宋_GB2312" w:cs="Times New Roman"/>
                <w:color w:val="000000"/>
                <w:szCs w:val="21"/>
                <w:lang w:val="en-US" w:eastAsia="zh-CN" w:bidi="ar-SA"/>
              </w:rPr>
            </w:pPr>
            <w:r>
              <w:rPr>
                <w:rFonts w:hint="default" w:ascii="Times New Roman" w:hAnsi="Times New Roman" w:eastAsia="仿宋_GB2312" w:cs="Times New Roman"/>
                <w:color w:val="000000"/>
                <w:szCs w:val="21"/>
                <w:lang w:val="en-US" w:eastAsia="zh-CN" w:bidi="ar-SA"/>
              </w:rPr>
              <w:t>地下公共停车位≥450个</w:t>
            </w:r>
          </w:p>
        </w:tc>
        <w:tc>
          <w:tcPr>
            <w:tcW w:w="948" w:type="dxa"/>
            <w:vMerge w:val="restart"/>
            <w:vAlign w:val="center"/>
          </w:tcPr>
          <w:p>
            <w:pPr>
              <w:jc w:val="center"/>
              <w:rPr>
                <w:rFonts w:hint="default" w:ascii="Times New Roman" w:hAnsi="Times New Roman" w:eastAsia="仿宋_GB2312" w:cs="Times New Roman"/>
                <w:color w:val="000000"/>
                <w:szCs w:val="21"/>
                <w:lang w:val="en-US" w:eastAsia="zh-CN" w:bidi="ar-SA"/>
              </w:rPr>
            </w:pPr>
            <w:r>
              <w:rPr>
                <w:rFonts w:hint="default" w:ascii="Times New Roman" w:hAnsi="Times New Roman" w:eastAsia="仿宋_GB2312" w:cs="Times New Roman"/>
                <w:color w:val="000000"/>
                <w:szCs w:val="21"/>
                <w:lang w:val="en-US" w:eastAsia="zh-CN" w:bidi="ar-SA"/>
              </w:rPr>
              <w:t>交通服务场站用地50</w:t>
            </w:r>
            <w:r>
              <w:rPr>
                <w:rFonts w:hint="eastAsia" w:eastAsia="仿宋_GB2312" w:cs="Times New Roman"/>
                <w:color w:val="000000"/>
                <w:szCs w:val="21"/>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5" w:hRule="atLeast"/>
        </w:trPr>
        <w:tc>
          <w:tcPr>
            <w:tcW w:w="817" w:type="dxa"/>
            <w:vMerge w:val="continue"/>
            <w:tcMar>
              <w:left w:w="0" w:type="dxa"/>
              <w:right w:w="0" w:type="dxa"/>
            </w:tcMar>
            <w:vAlign w:val="center"/>
          </w:tcPr>
          <w:p>
            <w:pPr>
              <w:jc w:val="center"/>
              <w:rPr>
                <w:rFonts w:hint="default" w:ascii="Times New Roman" w:hAnsi="Times New Roman" w:eastAsia="仿宋_GB2312" w:cs="Times New Roman"/>
                <w:color w:val="000000"/>
                <w:szCs w:val="21"/>
                <w:lang w:val="en-US" w:eastAsia="zh-CN" w:bidi="ar-SA"/>
              </w:rPr>
            </w:pPr>
          </w:p>
        </w:tc>
        <w:tc>
          <w:tcPr>
            <w:tcW w:w="738" w:type="dxa"/>
            <w:vMerge w:val="continue"/>
            <w:vAlign w:val="center"/>
          </w:tcPr>
          <w:p>
            <w:pPr>
              <w:jc w:val="center"/>
              <w:rPr>
                <w:rFonts w:hint="default" w:ascii="Times New Roman" w:hAnsi="Times New Roman" w:eastAsia="仿宋_GB2312" w:cs="Times New Roman"/>
                <w:color w:val="000000"/>
                <w:szCs w:val="21"/>
                <w:lang w:val="en-US" w:eastAsia="zh-CN" w:bidi="ar-SA"/>
              </w:rPr>
            </w:pPr>
          </w:p>
        </w:tc>
        <w:tc>
          <w:tcPr>
            <w:tcW w:w="507" w:type="dxa"/>
            <w:vMerge w:val="continue"/>
            <w:vAlign w:val="center"/>
          </w:tcPr>
          <w:p>
            <w:pPr>
              <w:jc w:val="center"/>
              <w:rPr>
                <w:rFonts w:hint="default" w:ascii="Times New Roman" w:hAnsi="Times New Roman" w:eastAsia="仿宋_GB2312" w:cs="Times New Roman"/>
                <w:color w:val="000000"/>
                <w:szCs w:val="21"/>
                <w:lang w:val="en-US" w:eastAsia="zh-CN" w:bidi="ar-SA"/>
              </w:rPr>
            </w:pPr>
          </w:p>
        </w:tc>
        <w:tc>
          <w:tcPr>
            <w:tcW w:w="422" w:type="dxa"/>
            <w:vMerge w:val="continue"/>
            <w:tcMar>
              <w:left w:w="0" w:type="dxa"/>
              <w:right w:w="0" w:type="dxa"/>
            </w:tcMar>
            <w:vAlign w:val="center"/>
          </w:tcPr>
          <w:p>
            <w:pPr>
              <w:jc w:val="center"/>
              <w:rPr>
                <w:rFonts w:hint="default" w:ascii="Times New Roman" w:hAnsi="Times New Roman" w:eastAsia="仿宋_GB2312" w:cs="Times New Roman"/>
                <w:color w:val="000000"/>
                <w:szCs w:val="21"/>
                <w:lang w:val="en-US" w:eastAsia="zh-CN" w:bidi="ar-SA"/>
              </w:rPr>
            </w:pPr>
          </w:p>
        </w:tc>
        <w:tc>
          <w:tcPr>
            <w:tcW w:w="699" w:type="dxa"/>
            <w:vMerge w:val="continue"/>
            <w:tcMar>
              <w:left w:w="0" w:type="dxa"/>
              <w:right w:w="0" w:type="dxa"/>
            </w:tcMar>
            <w:vAlign w:val="center"/>
          </w:tcPr>
          <w:p>
            <w:pPr>
              <w:jc w:val="center"/>
              <w:rPr>
                <w:rFonts w:hint="default" w:ascii="Times New Roman" w:hAnsi="Times New Roman" w:eastAsia="仿宋_GB2312" w:cs="Times New Roman"/>
                <w:color w:val="000000"/>
                <w:szCs w:val="21"/>
                <w:lang w:val="en-US" w:eastAsia="zh-CN" w:bidi="ar-SA"/>
              </w:rPr>
            </w:pPr>
          </w:p>
        </w:tc>
        <w:tc>
          <w:tcPr>
            <w:tcW w:w="614" w:type="dxa"/>
            <w:vMerge w:val="continue"/>
            <w:vAlign w:val="center"/>
          </w:tcPr>
          <w:p>
            <w:pPr>
              <w:jc w:val="center"/>
              <w:rPr>
                <w:rFonts w:hint="default" w:ascii="Times New Roman" w:hAnsi="Times New Roman" w:eastAsia="仿宋_GB2312" w:cs="Times New Roman"/>
                <w:color w:val="000000"/>
                <w:szCs w:val="21"/>
                <w:lang w:val="en-US" w:eastAsia="zh-CN" w:bidi="ar-SA"/>
              </w:rPr>
            </w:pPr>
          </w:p>
        </w:tc>
        <w:tc>
          <w:tcPr>
            <w:tcW w:w="834" w:type="dxa"/>
            <w:vMerge w:val="continue"/>
            <w:vAlign w:val="center"/>
          </w:tcPr>
          <w:p>
            <w:pPr>
              <w:jc w:val="center"/>
              <w:rPr>
                <w:rFonts w:hint="default" w:ascii="Times New Roman" w:hAnsi="Times New Roman" w:eastAsia="仿宋_GB2312" w:cs="Times New Roman"/>
                <w:color w:val="000000"/>
                <w:szCs w:val="21"/>
                <w:lang w:val="en-US" w:eastAsia="zh-CN" w:bidi="ar-SA"/>
              </w:rPr>
            </w:pPr>
          </w:p>
        </w:tc>
        <w:tc>
          <w:tcPr>
            <w:tcW w:w="1003" w:type="dxa"/>
            <w:vMerge w:val="continue"/>
            <w:vAlign w:val="center"/>
          </w:tcPr>
          <w:p>
            <w:pPr>
              <w:jc w:val="center"/>
              <w:rPr>
                <w:rFonts w:hint="default" w:ascii="Times New Roman" w:hAnsi="Times New Roman" w:eastAsia="仿宋_GB2312" w:cs="Times New Roman"/>
                <w:color w:val="000000"/>
                <w:szCs w:val="21"/>
                <w:lang w:val="en-US" w:eastAsia="zh-CN" w:bidi="ar-SA"/>
              </w:rPr>
            </w:pPr>
          </w:p>
        </w:tc>
        <w:tc>
          <w:tcPr>
            <w:tcW w:w="864" w:type="dxa"/>
            <w:vMerge w:val="continue"/>
            <w:vAlign w:val="center"/>
          </w:tcPr>
          <w:p>
            <w:pPr>
              <w:jc w:val="center"/>
              <w:rPr>
                <w:rFonts w:hint="default" w:ascii="Times New Roman" w:hAnsi="Times New Roman" w:eastAsia="仿宋_GB2312" w:cs="Times New Roman"/>
                <w:color w:val="000000"/>
                <w:szCs w:val="21"/>
                <w:lang w:val="en-US" w:eastAsia="zh-CN" w:bidi="ar-SA"/>
              </w:rPr>
            </w:pPr>
          </w:p>
        </w:tc>
        <w:tc>
          <w:tcPr>
            <w:tcW w:w="657" w:type="dxa"/>
            <w:vMerge w:val="continue"/>
            <w:vAlign w:val="center"/>
          </w:tcPr>
          <w:p>
            <w:pPr>
              <w:jc w:val="center"/>
              <w:rPr>
                <w:rFonts w:hint="default" w:ascii="Times New Roman" w:hAnsi="Times New Roman" w:eastAsia="仿宋_GB2312" w:cs="Times New Roman"/>
                <w:color w:val="000000"/>
                <w:szCs w:val="21"/>
                <w:lang w:val="en-US" w:eastAsia="zh-CN" w:bidi="ar-SA"/>
              </w:rPr>
            </w:pPr>
          </w:p>
        </w:tc>
        <w:tc>
          <w:tcPr>
            <w:tcW w:w="715" w:type="dxa"/>
            <w:vMerge w:val="continue"/>
            <w:vAlign w:val="center"/>
          </w:tcPr>
          <w:p>
            <w:pPr>
              <w:jc w:val="center"/>
              <w:rPr>
                <w:rFonts w:hint="default" w:ascii="Times New Roman" w:hAnsi="Times New Roman" w:eastAsia="仿宋_GB2312" w:cs="Times New Roman"/>
                <w:color w:val="000000"/>
                <w:szCs w:val="21"/>
                <w:lang w:val="en-US" w:eastAsia="zh-CN" w:bidi="ar-SA"/>
              </w:rPr>
            </w:pPr>
          </w:p>
        </w:tc>
        <w:tc>
          <w:tcPr>
            <w:tcW w:w="948" w:type="dxa"/>
            <w:vMerge w:val="continue"/>
            <w:vAlign w:val="center"/>
          </w:tcPr>
          <w:p>
            <w:pPr>
              <w:jc w:val="center"/>
              <w:rPr>
                <w:rFonts w:hint="default" w:ascii="Times New Roman" w:hAnsi="Times New Roman" w:eastAsia="仿宋_GB2312" w:cs="Times New Roman"/>
                <w:color w:val="000000"/>
                <w:szCs w:val="21"/>
                <w:lang w:val="en-US" w:eastAsia="zh-CN" w:bidi="ar-SA"/>
              </w:rPr>
            </w:pPr>
          </w:p>
        </w:tc>
      </w:tr>
    </w:tbl>
    <w:p>
      <w:pPr>
        <w:tabs>
          <w:tab w:val="left" w:pos="11340"/>
        </w:tabs>
        <w:spacing w:line="600" w:lineRule="exact"/>
        <w:rPr>
          <w:rFonts w:hint="default" w:ascii="Times New Roman" w:hAnsi="Times New Roman" w:eastAsia="仿宋_GB2312" w:cs="Times New Roman"/>
          <w:sz w:val="32"/>
          <w:szCs w:val="32"/>
        </w:rPr>
      </w:pPr>
    </w:p>
    <w:p>
      <w:pPr>
        <w:rPr>
          <w:rFonts w:hint="default" w:ascii="Times New Roman" w:hAnsi="Times New Roman" w:cs="Times New Roman"/>
        </w:rPr>
      </w:pPr>
    </w:p>
    <w:p>
      <w:pPr>
        <w:spacing w:line="360" w:lineRule="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7061"/>
    <w:rsid w:val="015539EC"/>
    <w:rsid w:val="03043D1C"/>
    <w:rsid w:val="045C3FD8"/>
    <w:rsid w:val="046368B3"/>
    <w:rsid w:val="047C6F5A"/>
    <w:rsid w:val="069C76D6"/>
    <w:rsid w:val="07386886"/>
    <w:rsid w:val="07895069"/>
    <w:rsid w:val="07BE59A8"/>
    <w:rsid w:val="082B1937"/>
    <w:rsid w:val="09B41FDD"/>
    <w:rsid w:val="09EF4B5F"/>
    <w:rsid w:val="0B406DC0"/>
    <w:rsid w:val="0B78752F"/>
    <w:rsid w:val="0B7A084A"/>
    <w:rsid w:val="0D167AC3"/>
    <w:rsid w:val="0D430223"/>
    <w:rsid w:val="0DF23899"/>
    <w:rsid w:val="0E177AE2"/>
    <w:rsid w:val="0E5C0367"/>
    <w:rsid w:val="0E7A65F6"/>
    <w:rsid w:val="101D3BC2"/>
    <w:rsid w:val="10BD4DFA"/>
    <w:rsid w:val="137618AF"/>
    <w:rsid w:val="13D50F1B"/>
    <w:rsid w:val="161D2710"/>
    <w:rsid w:val="167673A1"/>
    <w:rsid w:val="16AA6FD1"/>
    <w:rsid w:val="16D56AAC"/>
    <w:rsid w:val="172121EB"/>
    <w:rsid w:val="17AA0480"/>
    <w:rsid w:val="17D36568"/>
    <w:rsid w:val="17F82A54"/>
    <w:rsid w:val="184078AE"/>
    <w:rsid w:val="188D227F"/>
    <w:rsid w:val="192F711A"/>
    <w:rsid w:val="1A0B2C56"/>
    <w:rsid w:val="1AA5305E"/>
    <w:rsid w:val="1ADB0E54"/>
    <w:rsid w:val="1C5904D7"/>
    <w:rsid w:val="1D7069CD"/>
    <w:rsid w:val="1DE30B94"/>
    <w:rsid w:val="1E862B6D"/>
    <w:rsid w:val="1F7C2358"/>
    <w:rsid w:val="1FB07F91"/>
    <w:rsid w:val="20ED2229"/>
    <w:rsid w:val="217817B2"/>
    <w:rsid w:val="22890C8D"/>
    <w:rsid w:val="23A027B1"/>
    <w:rsid w:val="25251515"/>
    <w:rsid w:val="25E0579E"/>
    <w:rsid w:val="27A65DB8"/>
    <w:rsid w:val="28774868"/>
    <w:rsid w:val="28C60AA0"/>
    <w:rsid w:val="2A6B42FA"/>
    <w:rsid w:val="2A870225"/>
    <w:rsid w:val="2B5D4967"/>
    <w:rsid w:val="2CD66967"/>
    <w:rsid w:val="2F020615"/>
    <w:rsid w:val="304C7078"/>
    <w:rsid w:val="31CE6D72"/>
    <w:rsid w:val="33861F14"/>
    <w:rsid w:val="33DD4339"/>
    <w:rsid w:val="35335FA2"/>
    <w:rsid w:val="36061489"/>
    <w:rsid w:val="36885460"/>
    <w:rsid w:val="372361B7"/>
    <w:rsid w:val="37607760"/>
    <w:rsid w:val="380440B7"/>
    <w:rsid w:val="381E07C6"/>
    <w:rsid w:val="38387384"/>
    <w:rsid w:val="38BD14D1"/>
    <w:rsid w:val="3C13026D"/>
    <w:rsid w:val="3C8078D7"/>
    <w:rsid w:val="3DDC60B5"/>
    <w:rsid w:val="40231E47"/>
    <w:rsid w:val="40363F40"/>
    <w:rsid w:val="409256E4"/>
    <w:rsid w:val="409E7D83"/>
    <w:rsid w:val="40B33D72"/>
    <w:rsid w:val="411B39E1"/>
    <w:rsid w:val="414E681A"/>
    <w:rsid w:val="42CE6157"/>
    <w:rsid w:val="4333178A"/>
    <w:rsid w:val="43706132"/>
    <w:rsid w:val="44966F93"/>
    <w:rsid w:val="45C047BF"/>
    <w:rsid w:val="45EA0593"/>
    <w:rsid w:val="46FD730B"/>
    <w:rsid w:val="47AF3E70"/>
    <w:rsid w:val="4A1228DB"/>
    <w:rsid w:val="4A1B1ECC"/>
    <w:rsid w:val="4AE74DD0"/>
    <w:rsid w:val="4C2E14D5"/>
    <w:rsid w:val="4D1610A1"/>
    <w:rsid w:val="4DF35994"/>
    <w:rsid w:val="4EC91786"/>
    <w:rsid w:val="4F861E18"/>
    <w:rsid w:val="512A0AC6"/>
    <w:rsid w:val="538C505C"/>
    <w:rsid w:val="540106D5"/>
    <w:rsid w:val="546946EF"/>
    <w:rsid w:val="565101CA"/>
    <w:rsid w:val="567F481B"/>
    <w:rsid w:val="578E459E"/>
    <w:rsid w:val="57A3234F"/>
    <w:rsid w:val="57C844D5"/>
    <w:rsid w:val="57EA41E9"/>
    <w:rsid w:val="594D206E"/>
    <w:rsid w:val="596A13D8"/>
    <w:rsid w:val="5A893EB0"/>
    <w:rsid w:val="5AF873B7"/>
    <w:rsid w:val="5B573312"/>
    <w:rsid w:val="5D241B5A"/>
    <w:rsid w:val="5D471E01"/>
    <w:rsid w:val="5E3B0440"/>
    <w:rsid w:val="606821F3"/>
    <w:rsid w:val="60AD2817"/>
    <w:rsid w:val="623F28DB"/>
    <w:rsid w:val="63AA2C72"/>
    <w:rsid w:val="64D925C4"/>
    <w:rsid w:val="64E467ED"/>
    <w:rsid w:val="65651799"/>
    <w:rsid w:val="68527CA2"/>
    <w:rsid w:val="692A6240"/>
    <w:rsid w:val="6B6E278B"/>
    <w:rsid w:val="6BE509C5"/>
    <w:rsid w:val="6C72571A"/>
    <w:rsid w:val="6E0C0E77"/>
    <w:rsid w:val="6EB83079"/>
    <w:rsid w:val="6EC11C99"/>
    <w:rsid w:val="6ED476F5"/>
    <w:rsid w:val="6F3F769A"/>
    <w:rsid w:val="6F4B3B48"/>
    <w:rsid w:val="6FF0551C"/>
    <w:rsid w:val="700A52E4"/>
    <w:rsid w:val="700B25B1"/>
    <w:rsid w:val="710659AD"/>
    <w:rsid w:val="727D44B4"/>
    <w:rsid w:val="728D40FC"/>
    <w:rsid w:val="7291218D"/>
    <w:rsid w:val="736D1677"/>
    <w:rsid w:val="73BE7EBD"/>
    <w:rsid w:val="73F22758"/>
    <w:rsid w:val="748840AA"/>
    <w:rsid w:val="761352C3"/>
    <w:rsid w:val="765425FB"/>
    <w:rsid w:val="77DD303C"/>
    <w:rsid w:val="782A0826"/>
    <w:rsid w:val="787C1591"/>
    <w:rsid w:val="79E82C45"/>
    <w:rsid w:val="7AD36021"/>
    <w:rsid w:val="7B832F79"/>
    <w:rsid w:val="7D060077"/>
    <w:rsid w:val="7F252698"/>
    <w:rsid w:val="7FAA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仿宋_GB2312"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420" w:leftChars="200"/>
    </w:p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杨惠丹</cp:lastModifiedBy>
  <cp:lastPrinted>2021-10-12T02:14:00Z</cp:lastPrinted>
  <dcterms:modified xsi:type="dcterms:W3CDTF">2021-10-18T09:08:20Z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