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）地块位置：惠州市惠城区江北火车站地区JBX14-03地块;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（三）规划编号：JBX14-03;</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w:t>
      </w:r>
      <w:r>
        <w:rPr>
          <w:rFonts w:hint="default" w:ascii="Times New Roman" w:hAnsi="Times New Roman" w:eastAsia="仿宋_GB2312" w:cs="Times New Roman"/>
          <w:kern w:val="2"/>
          <w:sz w:val="32"/>
          <w:szCs w:val="32"/>
        </w:rPr>
        <w:t>平面界址点</w:t>
      </w:r>
      <w:r>
        <w:rPr>
          <w:rFonts w:hint="default" w:ascii="Times New Roman" w:hAnsi="Times New Roman" w:eastAsia="仿宋_GB2312" w:cs="Times New Roman"/>
          <w:kern w:val="2"/>
          <w:sz w:val="32"/>
          <w:szCs w:val="32"/>
          <w:lang w:eastAsia="zh-CN"/>
        </w:rPr>
        <w:t>以建设用地红线图</w:t>
      </w:r>
      <w:r>
        <w:rPr>
          <w:rFonts w:hint="default" w:ascii="Times New Roman" w:hAnsi="Times New Roman" w:eastAsia="仿宋_GB2312" w:cs="Times New Roman"/>
          <w:kern w:val="2"/>
          <w:sz w:val="32"/>
          <w:szCs w:val="32"/>
        </w:rPr>
        <w:t>为准，宗地竖向界限以《规划设计条件告知书（案卷编号：</w:t>
      </w:r>
      <w:r>
        <w:rPr>
          <w:rFonts w:hint="default" w:ascii="Times New Roman" w:hAnsi="Times New Roman" w:eastAsia="仿宋_GB2312" w:cs="Times New Roman"/>
          <w:b w:val="0"/>
          <w:bCs w:val="0"/>
          <w:kern w:val="2"/>
          <w:sz w:val="32"/>
          <w:szCs w:val="32"/>
          <w:lang w:val="en-US" w:eastAsia="zh-CN" w:bidi="ar-SA"/>
        </w:rPr>
        <w:t>PB20210013</w:t>
      </w:r>
      <w:r>
        <w:rPr>
          <w:rFonts w:hint="default" w:ascii="Times New Roman" w:hAnsi="Times New Roman" w:eastAsia="仿宋_GB2312" w:cs="Times New Roman"/>
          <w:kern w:val="2"/>
          <w:sz w:val="32"/>
          <w:szCs w:val="32"/>
        </w:rPr>
        <w:t>）》规定为准</w:t>
      </w:r>
      <w:r>
        <w:rPr>
          <w:rFonts w:hint="eastAsia" w:ascii="仿宋_GB2312" w:hAnsi="仿宋_GB2312" w:eastAsia="仿宋_GB2312" w:cs="仿宋_GB2312"/>
          <w:sz w:val="32"/>
          <w:szCs w:val="32"/>
        </w:rPr>
        <w:t>；</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宗地使用权面积为：21366.61平方米；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（六）计算指标用地面积为：28281.48平方米；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（七）计容积率建筑面积为：≤84846㎡；</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（八）容积率为：≤3.0；</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十）绿地率为：≥35％；</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eastAsia="zh-CN"/>
        </w:rPr>
        <w:t>：每100㎡计容积率面积≥1个。</w:t>
      </w:r>
      <w:r>
        <w:rPr>
          <w:rFonts w:hint="eastAsia" w:ascii="仿宋_GB2312" w:hAnsi="仿宋_GB2312" w:eastAsia="仿宋_GB2312" w:cs="仿宋_GB2312"/>
          <w:sz w:val="32"/>
          <w:szCs w:val="32"/>
          <w:lang w:val="en-US" w:eastAsia="zh-CN"/>
        </w:rPr>
        <w:t>地面停车位数量不宜超过住宅总套数的10%。住宅配建停车位必须100%建设充电设施或预留建设安装条件；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）土地用途为：二类城镇住宅、商服用地；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）土地使用权出让年期为：住宅70年、商服40年；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）适建性：住宅、商业及配套设施；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w:t>
      </w:r>
      <w:r>
        <w:rPr>
          <w:rFonts w:hint="default" w:ascii="Times New Roman" w:hAnsi="Times New Roman" w:eastAsia="仿宋_GB2312" w:cs="Times New Roman"/>
          <w:kern w:val="2"/>
          <w:sz w:val="32"/>
          <w:szCs w:val="32"/>
        </w:rPr>
        <w:t>地块动工时间为地块交付之日起一年内，竣工时间为动工之日起三年内（因不可抗拒因素除外）</w:t>
      </w:r>
      <w:r>
        <w:rPr>
          <w:rFonts w:hint="eastAsia" w:ascii="仿宋_GB2312" w:hAnsi="仿宋_GB2312" w:eastAsia="仿宋_GB2312" w:cs="仿宋_GB2312"/>
          <w:sz w:val="32"/>
          <w:szCs w:val="32"/>
        </w:rPr>
        <w:t>；</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竞得人在缴清地价款后一个月内办理交地手续，凭《交地确认书》</w:t>
      </w:r>
      <w:r>
        <w:rPr>
          <w:rFonts w:hint="default" w:ascii="Times New Roman" w:hAnsi="Times New Roman" w:eastAsia="仿宋_GB2312" w:cs="Times New Roman"/>
          <w:sz w:val="32"/>
          <w:szCs w:val="32"/>
          <w:lang w:eastAsia="zh-CN"/>
        </w:rPr>
        <w:t>、《出让合同》（</w:t>
      </w:r>
      <w:r>
        <w:rPr>
          <w:rFonts w:hint="default" w:ascii="Times New Roman" w:hAnsi="Times New Roman" w:eastAsia="仿宋_GB2312" w:cs="Times New Roman"/>
          <w:sz w:val="32"/>
          <w:szCs w:val="32"/>
          <w:lang w:val="en-US" w:eastAsia="zh-CN"/>
        </w:rPr>
        <w:t>正本</w:t>
      </w:r>
      <w:r>
        <w:rPr>
          <w:rFonts w:hint="default" w:ascii="Times New Roman" w:hAnsi="Times New Roman" w:eastAsia="仿宋_GB2312" w:cs="Times New Roman"/>
          <w:sz w:val="32"/>
          <w:szCs w:val="32"/>
          <w:lang w:eastAsia="zh-CN"/>
        </w:rPr>
        <w:t>）和地价款交款凭证等</w:t>
      </w:r>
      <w:r>
        <w:rPr>
          <w:rFonts w:hint="default" w:ascii="Times New Roman" w:hAnsi="Times New Roman" w:eastAsia="仿宋_GB2312" w:cs="Times New Roman"/>
          <w:sz w:val="32"/>
          <w:szCs w:val="32"/>
        </w:rPr>
        <w:t>申请办理土地初始登记，领取《不动产权证书》</w:t>
      </w:r>
      <w:r>
        <w:rPr>
          <w:rFonts w:hint="eastAsia" w:ascii="仿宋_GB2312" w:hAnsi="仿宋_GB2312" w:eastAsia="仿宋_GB2312" w:cs="仿宋_GB2312"/>
          <w:sz w:val="32"/>
          <w:szCs w:val="32"/>
        </w:rPr>
        <w:t xml:space="preserve">。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Times New Roman" w:hAnsi="Times New Roman" w:eastAsia="仿宋_GB2312" w:cs="Times New Roman"/>
          <w:b w:val="0"/>
          <w:bCs w:val="0"/>
          <w:kern w:val="2"/>
          <w:sz w:val="32"/>
          <w:szCs w:val="32"/>
          <w:lang w:val="en-US" w:eastAsia="zh-CN" w:bidi="ar-SA"/>
        </w:rPr>
        <w:t>84900</w:t>
      </w:r>
      <w:r>
        <w:rPr>
          <w:rFonts w:hint="default" w:ascii="Times New Roman" w:hAnsi="Times New Roman" w:eastAsia="仿宋_GB2312" w:cs="Times New Roman"/>
          <w:sz w:val="32"/>
          <w:szCs w:val="32"/>
        </w:rPr>
        <w:t>万元（含地价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不含地价溢价部分）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eastAsia" w:eastAsia="仿宋_GB2312" w:cs="Times New Roman"/>
          <w:kern w:val="2"/>
          <w:sz w:val="32"/>
          <w:szCs w:val="32"/>
          <w:lang w:val="en-US" w:eastAsia="zh-CN"/>
        </w:rPr>
        <w:t>三</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rPr>
        <w:t>该地权利清晰，安置补偿落实到位，没有法律经济纠纷，具备动工开发所必须的基本条件</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w:t>
      </w:r>
      <w:r>
        <w:rPr>
          <w:rFonts w:hint="eastAsia" w:ascii="仿宋_GB2312" w:hAnsi="仿宋_GB2312" w:eastAsia="仿宋_GB2312" w:cs="仿宋_GB2312"/>
          <w:sz w:val="32"/>
          <w:szCs w:val="32"/>
        </w:rPr>
        <w:t>竞得人在用地红线内开发建设必须符合城市规划要求，必须按《规划设计条件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》（案卷编号：PB20210013）规划控制指标要求及有关规定进行规划设计</w:t>
      </w:r>
      <w:r>
        <w:rPr>
          <w:rFonts w:hint="default" w:ascii="Times New Roman" w:hAnsi="Times New Roman" w:eastAsia="仿宋_GB2312" w:cs="Times New Roman"/>
          <w:kern w:val="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kern w:val="2"/>
          <w:sz w:val="32"/>
          <w:szCs w:val="32"/>
          <w:lang w:val="en-US" w:eastAsia="zh-CN"/>
        </w:rPr>
        <w:t>（五）</w:t>
      </w:r>
      <w:r>
        <w:rPr>
          <w:rFonts w:hint="default" w:ascii="Times New Roman" w:hAnsi="Times New Roman" w:eastAsia="仿宋_GB2312" w:cs="Times New Roman"/>
          <w:kern w:val="2"/>
          <w:sz w:val="32"/>
          <w:szCs w:val="32"/>
          <w:lang w:val="en-US" w:eastAsia="zh-CN" w:bidi="ar-SA"/>
        </w:rPr>
        <w:t>该地块所建单套毛坯商品住宅销售单价不高于18694元/㎡</w:t>
      </w:r>
      <w:r>
        <w:rPr>
          <w:rFonts w:hint="eastAsia" w:ascii="Times New Roman" w:hAnsi="Times New Roman" w:eastAsia="仿宋_GB2312" w:cs="Times New Roman"/>
          <w:kern w:val="2"/>
          <w:sz w:val="32"/>
          <w:szCs w:val="32"/>
          <w:lang w:val="en-US"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default" w:ascii="Times New Roman" w:hAnsi="Times New Roman" w:eastAsia="仿宋_GB2312" w:cs="Times New Roman"/>
          <w:sz w:val="32"/>
          <w:szCs w:val="32"/>
        </w:rPr>
        <w:t>中华人民共和国境内外的法人和其他组织（除法律法规另有规定外），符合以下要求均可申请参加竞买：竞买申请</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需具备房地产开发资质，且同一企业及控股公司只允许一家企业参与竞买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申请企业可以单独申请，也可以联合申请</w:t>
      </w:r>
      <w:r>
        <w:rPr>
          <w:rFonts w:hint="eastAsia" w:ascii="仿宋_GB2312" w:hAnsi="仿宋_GB2312" w:eastAsia="仿宋_GB2312" w:cs="仿宋_GB2312"/>
          <w:kern w:val="0"/>
          <w:sz w:val="32"/>
          <w:szCs w:val="32"/>
        </w:rPr>
        <w:t>。申请人还应具备下列条件：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17820</w:t>
      </w:r>
      <w:r>
        <w:rPr>
          <w:rFonts w:hint="eastAsia" w:ascii="仿宋_GB2312" w:hAnsi="仿宋_GB2312" w:eastAsia="仿宋_GB2312" w:cs="仿宋_GB2312"/>
          <w:kern w:val="0"/>
          <w:sz w:val="32"/>
          <w:szCs w:val="32"/>
        </w:rPr>
        <w:t>万元人民币，如以外币缴交竞买保证金的，须缴交美元</w:t>
      </w:r>
      <w:r>
        <w:rPr>
          <w:rFonts w:hint="eastAsia" w:ascii="仿宋_GB2312" w:hAnsi="仿宋_GB2312" w:eastAsia="仿宋_GB2312" w:cs="仿宋_GB2312"/>
          <w:kern w:val="0"/>
          <w:sz w:val="32"/>
          <w:szCs w:val="32"/>
          <w:lang w:val="en-US" w:eastAsia="zh-CN"/>
        </w:rPr>
        <w:t>2762</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21463</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竞得人有下列行为之一的，取消竞得人资格，</w:t>
      </w:r>
      <w:r>
        <w:rPr>
          <w:rFonts w:hint="eastAsia" w:ascii="仿宋_GB2312" w:hAnsi="仿宋_GB2312" w:eastAsia="仿宋_GB2312" w:cs="仿宋_GB2312"/>
          <w:sz w:val="32"/>
          <w:szCs w:val="32"/>
          <w:lang w:val="en-US" w:eastAsia="zh-CN"/>
        </w:rPr>
        <w:t xml:space="preserve"> 竞买保证金不予退还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并由有关部门依法处理，</w:t>
      </w:r>
      <w:r>
        <w:rPr>
          <w:rFonts w:hint="eastAsia" w:ascii="仿宋_GB2312" w:hAnsi="仿宋_GB2312" w:eastAsia="仿宋_GB2312" w:cs="仿宋_GB2312"/>
          <w:sz w:val="32"/>
          <w:szCs w:val="32"/>
        </w:rPr>
        <w:t>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w:t>
      </w:r>
      <w:r>
        <w:rPr>
          <w:rFonts w:hint="eastAsia" w:ascii="仿宋_GB2312" w:hAnsi="仿宋_GB2312" w:eastAsia="仿宋_GB2312" w:cs="仿宋_GB2312"/>
          <w:b/>
          <w:bCs/>
          <w:sz w:val="32"/>
          <w:szCs w:val="32"/>
          <w:lang w:val="en-US" w:eastAsia="zh-CN"/>
        </w:rPr>
        <w:t>价</w:t>
      </w:r>
      <w:r>
        <w:rPr>
          <w:rFonts w:hint="eastAsia" w:ascii="仿宋_GB2312" w:hAnsi="仿宋_GB2312" w:eastAsia="仿宋_GB2312" w:cs="仿宋_GB2312"/>
          <w:b/>
          <w:bCs/>
          <w:sz w:val="32"/>
          <w:szCs w:val="32"/>
        </w:rPr>
        <w:t>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rPr>
        <w:t>挂牌起始价为人民币</w:t>
      </w:r>
      <w:r>
        <w:rPr>
          <w:rFonts w:hint="eastAsia" w:ascii="仿宋_GB2312" w:hAnsi="仿宋_GB2312" w:eastAsia="仿宋_GB2312" w:cs="仿宋_GB2312"/>
          <w:color w:val="auto"/>
          <w:sz w:val="32"/>
          <w:szCs w:val="32"/>
          <w:highlight w:val="none"/>
          <w:u w:val="single"/>
          <w:lang w:val="en-US" w:eastAsia="zh-CN"/>
        </w:rPr>
        <w:t>伍亿玖仟肆佰</w:t>
      </w:r>
      <w:r>
        <w:rPr>
          <w:rFonts w:hint="eastAsia" w:ascii="仿宋_GB2312" w:hAnsi="仿宋_GB2312" w:eastAsia="仿宋_GB2312" w:cs="仿宋_GB2312"/>
          <w:color w:val="auto"/>
          <w:sz w:val="32"/>
          <w:szCs w:val="32"/>
          <w:highlight w:val="none"/>
          <w:u w:val="single"/>
        </w:rPr>
        <w:t>万元整</w:t>
      </w:r>
      <w:r>
        <w:rPr>
          <w:rFonts w:hint="eastAsia" w:ascii="仿宋_GB2312" w:hAnsi="仿宋_GB2312" w:eastAsia="仿宋_GB2312" w:cs="仿宋_GB2312"/>
          <w:color w:val="auto"/>
          <w:sz w:val="32"/>
          <w:szCs w:val="32"/>
          <w:highlight w:val="none"/>
        </w:rPr>
        <w:t>（大写）（￥</w:t>
      </w:r>
      <w:r>
        <w:rPr>
          <w:rFonts w:hint="eastAsia" w:ascii="仿宋_GB2312" w:eastAsia="仿宋_GB2312"/>
          <w:sz w:val="32"/>
          <w:szCs w:val="32"/>
          <w:highlight w:val="none"/>
          <w:u w:val="single"/>
          <w:lang w:val="en-US" w:eastAsia="zh-CN"/>
        </w:rPr>
        <w:t>59400</w:t>
      </w:r>
      <w:r>
        <w:rPr>
          <w:rFonts w:hint="eastAsia" w:ascii="仿宋_GB2312" w:hAnsi="仿宋_GB2312" w:eastAsia="仿宋_GB2312" w:cs="仿宋_GB2312"/>
          <w:color w:val="auto"/>
          <w:sz w:val="32"/>
          <w:szCs w:val="32"/>
          <w:highlight w:val="none"/>
        </w:rPr>
        <w:t>万元）,增价幅度为人民币</w:t>
      </w:r>
      <w:r>
        <w:rPr>
          <w:rFonts w:hint="eastAsia" w:ascii="仿宋_GB2312" w:hAnsi="仿宋_GB2312" w:eastAsia="仿宋_GB2312" w:cs="仿宋_GB2312"/>
          <w:color w:val="auto"/>
          <w:sz w:val="32"/>
          <w:szCs w:val="32"/>
          <w:highlight w:val="none"/>
          <w:u w:val="single"/>
          <w:lang w:val="en-US" w:eastAsia="zh-CN"/>
        </w:rPr>
        <w:t>壹仟</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u w:val="single"/>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《规划设计条件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》（案卷编号：PB20210013）；</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壹亿柒仟捌佰贰拾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17820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贰仟柒佰陆拾贰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2762</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贰亿壹仟肆佰陆拾叁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rPr>
        <w:t>21463</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Times New Roman" w:hAnsi="Times New Roman" w:eastAsia="仿宋_GB2312" w:cs="Times New Roman"/>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网上报价及“限地价、</w:t>
      </w:r>
      <w:r>
        <w:rPr>
          <w:rFonts w:hint="eastAsia" w:ascii="仿宋_GB2312" w:hAnsi="仿宋_GB2312" w:eastAsia="仿宋_GB2312" w:cs="仿宋_GB2312"/>
          <w:b/>
          <w:bCs/>
          <w:sz w:val="32"/>
          <w:szCs w:val="32"/>
          <w:lang w:val="en-US" w:eastAsia="zh-CN"/>
        </w:rPr>
        <w:t>摇号</w:t>
      </w:r>
      <w:r>
        <w:rPr>
          <w:rFonts w:hint="eastAsia" w:ascii="仿宋_GB2312" w:hAnsi="仿宋_GB2312" w:eastAsia="仿宋_GB2312" w:cs="仿宋_GB2312"/>
          <w:b/>
          <w:bCs/>
          <w:sz w:val="32"/>
          <w:szCs w:val="32"/>
        </w:rPr>
        <w:t>”规则</w:t>
      </w:r>
    </w:p>
    <w:p>
      <w:pPr>
        <w:spacing w:line="560" w:lineRule="exact"/>
        <w:ind w:firstLine="480" w:firstLineChars="150"/>
        <w:rPr>
          <w:rFonts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本宗建设用地使用权网上挂牌采取“限地价、</w:t>
      </w:r>
      <w:r>
        <w:rPr>
          <w:rFonts w:hint="eastAsia" w:ascii="仿宋_GB2312" w:eastAsia="仿宋_GB2312"/>
          <w:sz w:val="32"/>
          <w:szCs w:val="32"/>
          <w:lang w:val="en-US" w:eastAsia="zh-CN"/>
        </w:rPr>
        <w:t>摇号</w:t>
      </w:r>
      <w:r>
        <w:rPr>
          <w:rFonts w:hint="eastAsia" w:ascii="仿宋_GB2312" w:eastAsia="仿宋_GB2312"/>
          <w:sz w:val="32"/>
          <w:szCs w:val="32"/>
        </w:rPr>
        <w:t>”出让方式，竞买人以增价方式通过网上挂牌交易系统进行报价，当报价达到最高限价时，交易系统转入</w:t>
      </w:r>
      <w:r>
        <w:rPr>
          <w:rFonts w:hint="eastAsia" w:ascii="仿宋_GB2312" w:eastAsia="仿宋_GB2312"/>
          <w:sz w:val="32"/>
          <w:szCs w:val="32"/>
          <w:lang w:val="en-US" w:eastAsia="zh-CN"/>
        </w:rPr>
        <w:t>采取摇号方式确定</w:t>
      </w:r>
      <w:r>
        <w:rPr>
          <w:rFonts w:hint="eastAsia" w:ascii="仿宋_GB2312" w:eastAsia="仿宋_GB2312"/>
          <w:sz w:val="32"/>
          <w:szCs w:val="32"/>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（二）每次</w:t>
      </w:r>
      <w:r>
        <w:rPr>
          <w:rFonts w:hint="eastAsia" w:ascii="仿宋_GB2312" w:eastAsia="仿宋_GB2312"/>
          <w:sz w:val="32"/>
          <w:szCs w:val="32"/>
          <w:lang w:val="en-US" w:eastAsia="zh-CN"/>
        </w:rPr>
        <w:t>增价</w:t>
      </w:r>
      <w:r>
        <w:rPr>
          <w:rFonts w:hint="eastAsia" w:ascii="仿宋_GB2312" w:eastAsia="仿宋_GB2312"/>
          <w:sz w:val="32"/>
          <w:szCs w:val="32"/>
        </w:rPr>
        <w:t>幅度</w:t>
      </w:r>
      <w:r>
        <w:rPr>
          <w:rFonts w:hint="eastAsia" w:ascii="仿宋_GB2312" w:eastAsia="仿宋_GB2312"/>
          <w:sz w:val="32"/>
          <w:szCs w:val="32"/>
          <w:lang w:val="en-US" w:eastAsia="zh-CN"/>
        </w:rPr>
        <w:t>应是本须知规定的增价幅度的整数倍</w:t>
      </w:r>
      <w:r>
        <w:rPr>
          <w:rFonts w:hint="eastAsia" w:ascii="仿宋_GB2312" w:eastAsia="仿宋_GB2312"/>
          <w:sz w:val="32"/>
          <w:szCs w:val="32"/>
        </w:rPr>
        <w:t>。</w:t>
      </w:r>
      <w:r>
        <w:rPr>
          <w:rFonts w:ascii="仿宋_GB2312" w:eastAsia="仿宋_GB2312"/>
          <w:sz w:val="32"/>
          <w:szCs w:val="32"/>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sz w:val="32"/>
          <w:szCs w:val="32"/>
        </w:rPr>
        <w:t>（五）竞买人应当谨慎报价，报价一经提交并经网上挂牌</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系统确认为有效报价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val="en-US" w:eastAsia="zh-CN"/>
        </w:rPr>
        <w:t>报价不能高于最高限价</w:t>
      </w:r>
      <w:r>
        <w:rPr>
          <w:rFonts w:hint="eastAsia" w:ascii="仿宋_GB2312"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eastAsia="仿宋_GB2312"/>
          <w:sz w:val="32"/>
          <w:szCs w:val="32"/>
        </w:rPr>
        <w:t>（七）</w:t>
      </w:r>
      <w:r>
        <w:rPr>
          <w:rFonts w:hint="eastAsia" w:ascii="仿宋_GB2312" w:eastAsia="仿宋_GB2312"/>
          <w:sz w:val="32"/>
          <w:szCs w:val="32"/>
          <w:lang w:val="en-US" w:eastAsia="zh-CN"/>
        </w:rPr>
        <w:t>不同竞买人均可报最高限价</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（八）</w:t>
      </w:r>
      <w:r>
        <w:rPr>
          <w:rFonts w:hint="eastAsia" w:ascii="仿宋_GB2312" w:hAnsi="仿宋_GB2312" w:eastAsia="仿宋_GB2312" w:cs="仿宋_GB2312"/>
          <w:sz w:val="32"/>
          <w:szCs w:val="32"/>
        </w:rPr>
        <w:t>限时竞价是指在交易公告规定的电子挂牌交易期限截止时，有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个以上的竞买人报价，且经电子挂牌交易系统询问，</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分钟内限时决定是否愿意继续报价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有竞买人愿意继续报价的，电子挂牌交易系统以高于当前最高报价一个增价幅度的价格为起始价，电子挂牌交易系统开始第一次</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分钟倒计时限时报价，如在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分钟内的任一时点有新的有效报价，电子挂牌交易系统即从此时点起再顺延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分钟，供竞买人作新一轮报价，并按此方式不断顺延下去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直至</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lang w:eastAsia="zh-CN"/>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进入限时竞价，限时竞价中</w:t>
      </w:r>
      <w:r>
        <w:rPr>
          <w:rFonts w:hint="eastAsia" w:ascii="仿宋_GB2312" w:hAnsi="仿宋_GB2312" w:eastAsia="仿宋_GB2312" w:cs="仿宋_GB2312"/>
          <w:sz w:val="32"/>
          <w:szCs w:val="32"/>
        </w:rPr>
        <w:t>最高报价达到最高限价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只有</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竞买人报最高限价，该报价者为竞得人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以上竞买人报最高限价，系统将选取报最高限价的竞买号进行摇号，采取摇号的方式在规定的时间内确定竞得人。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权限。 </w:t>
      </w:r>
    </w:p>
    <w:p>
      <w:pPr>
        <w:tabs>
          <w:tab w:val="left" w:pos="3388"/>
        </w:tabs>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（四）网上挂牌报价</w:t>
      </w:r>
      <w:r>
        <w:rPr>
          <w:rFonts w:hint="eastAsia" w:ascii="仿宋_GB2312" w:hAnsi="仿宋_GB2312" w:eastAsia="仿宋_GB2312" w:cs="仿宋_GB2312"/>
          <w:sz w:val="32"/>
          <w:szCs w:val="32"/>
          <w:lang w:val="en-US" w:eastAsia="zh-CN"/>
        </w:rPr>
        <w:t>及摇号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当地块竞价至最高限价时，转入摇号环节</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w:t>
      </w:r>
      <w:r>
        <w:rPr>
          <w:rFonts w:hint="eastAsia" w:ascii="仿宋_GB2312" w:hAnsi="仿宋_GB2312" w:eastAsia="仿宋_GB2312" w:cs="仿宋_GB2312"/>
          <w:sz w:val="32"/>
          <w:szCs w:val="32"/>
          <w:lang w:val="en-US" w:eastAsia="zh-CN"/>
        </w:rPr>
        <w:t>及“限地价、摇号”</w:t>
      </w:r>
      <w:r>
        <w:rPr>
          <w:rFonts w:hint="eastAsia" w:ascii="仿宋_GB2312" w:hAnsi="仿宋_GB2312" w:eastAsia="仿宋_GB2312" w:cs="仿宋_GB2312"/>
          <w:sz w:val="32"/>
          <w:szCs w:val="32"/>
        </w:rPr>
        <w:t>规则见</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由委托方进行资格审查，</w:t>
      </w:r>
      <w:r>
        <w:rPr>
          <w:rFonts w:hint="eastAsia" w:ascii="仿宋_GB2312" w:hAnsi="仿宋_GB2312" w:eastAsia="仿宋_GB2312" w:cs="仿宋_GB2312"/>
          <w:sz w:val="32"/>
          <w:szCs w:val="32"/>
          <w:highlight w:val="none"/>
          <w:shd w:val="clear" w:color="auto" w:fill="auto"/>
          <w:lang w:val="en-US" w:eastAsia="zh-CN"/>
        </w:rPr>
        <w:t>符合竞买资格的，竞得人应</w:t>
      </w:r>
      <w:bookmarkStart w:id="8" w:name="_GoBack"/>
      <w:bookmarkEnd w:id="8"/>
      <w:r>
        <w:rPr>
          <w:rFonts w:hint="eastAsia" w:ascii="仿宋_GB2312" w:hAnsi="仿宋_GB2312" w:eastAsia="仿宋_GB2312" w:cs="仿宋_GB2312"/>
          <w:sz w:val="32"/>
          <w:szCs w:val="32"/>
          <w:highlight w:val="none"/>
          <w:shd w:val="clear" w:color="auto" w:fill="auto"/>
          <w:lang w:val="en-US" w:eastAsia="zh-CN"/>
        </w:rPr>
        <w:t>在网上挂牌交易信息结果公布之日起5个工作日内签订《成交确认书》</w:t>
      </w:r>
      <w:r>
        <w:rPr>
          <w:rFonts w:hint="eastAsia" w:ascii="仿宋_GB2312" w:hAnsi="仿宋_GB2312" w:eastAsia="仿宋_GB2312" w:cs="仿宋_GB2312"/>
          <w:sz w:val="32"/>
          <w:szCs w:val="32"/>
          <w:lang w:val="en-US"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房地产开发资质材料</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购地资金来源承诺书。</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Times New Roman" w:hAnsi="Times New Roman" w:eastAsia="仿宋_GB2312" w:cs="Times New Roman"/>
          <w:sz w:val="32"/>
          <w:szCs w:val="32"/>
          <w:highlight w:val="none"/>
          <w:lang w:val="en-US" w:eastAsia="zh-CN"/>
        </w:rPr>
        <w:t>本次国有建设用地使用权网上挂牌</w:t>
      </w:r>
      <w:r>
        <w:rPr>
          <w:rFonts w:hint="default" w:ascii="Times New Roman" w:hAnsi="Times New Roman" w:eastAsia="仿宋_GB2312" w:cs="Times New Roman"/>
          <w:sz w:val="32"/>
          <w:szCs w:val="32"/>
          <w:highlight w:val="none"/>
          <w:lang w:val="en-US" w:eastAsia="zh-CN"/>
        </w:rPr>
        <w:t>竞价达到</w:t>
      </w:r>
      <w:r>
        <w:rPr>
          <w:rFonts w:hint="default" w:ascii="Times New Roman" w:hAnsi="Times New Roman" w:eastAsia="仿宋_GB2312" w:cs="Times New Roman"/>
          <w:b w:val="0"/>
          <w:bCs w:val="0"/>
          <w:kern w:val="2"/>
          <w:sz w:val="32"/>
          <w:szCs w:val="32"/>
          <w:highlight w:val="none"/>
          <w:lang w:val="en-US" w:eastAsia="zh-CN" w:bidi="ar-SA"/>
        </w:rPr>
        <w:t>68310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转为采</w:t>
      </w:r>
      <w:r>
        <w:rPr>
          <w:rFonts w:hint="default" w:ascii="Times New Roman" w:hAnsi="Times New Roman" w:eastAsia="仿宋_GB2312" w:cs="Times New Roman"/>
          <w:sz w:val="32"/>
          <w:szCs w:val="32"/>
          <w:highlight w:val="none"/>
          <w:lang w:val="en-US" w:eastAsia="zh-CN"/>
        </w:rPr>
        <w:t>取</w:t>
      </w:r>
      <w:r>
        <w:rPr>
          <w:rFonts w:hint="default" w:ascii="Times New Roman" w:hAnsi="Times New Roman" w:eastAsia="仿宋_GB2312" w:cs="Times New Roman"/>
          <w:sz w:val="32"/>
          <w:szCs w:val="32"/>
          <w:highlight w:val="none"/>
        </w:rPr>
        <w:t>摇号方式确定竞得人</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协议；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2"/>
      </w:pPr>
      <w:r>
        <w:rPr>
          <w:rFonts w:hint="default" w:ascii="Times New Roman" w:hAnsi="Times New Roman" w:eastAsia="仿宋_GB2312" w:cs="Times New Roman"/>
          <w:kern w:val="2"/>
          <w:sz w:val="32"/>
          <w:szCs w:val="32"/>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未竞得人以外币缴纳竞买保证金的，将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w:t>
      </w:r>
      <w:r>
        <w:rPr>
          <w:rFonts w:hint="eastAsia" w:ascii="仿宋_GB2312" w:hAnsi="仿宋_GB2312" w:eastAsia="仿宋_GB2312" w:cs="仿宋_GB2312"/>
          <w:color w:val="000000"/>
          <w:sz w:val="32"/>
          <w:szCs w:val="32"/>
          <w:lang w:val="en-US" w:eastAsia="zh-CN"/>
        </w:rPr>
        <w:t>账</w:t>
      </w:r>
      <w:r>
        <w:rPr>
          <w:rFonts w:hint="eastAsia" w:ascii="仿宋_GB2312" w:hAnsi="仿宋_GB2312" w:eastAsia="仿宋_GB2312" w:cs="仿宋_GB2312"/>
          <w:color w:val="000000"/>
          <w:sz w:val="32"/>
          <w:szCs w:val="32"/>
        </w:rPr>
        <w:t>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225A"/>
    <w:rsid w:val="00E4457D"/>
    <w:rsid w:val="00E60097"/>
    <w:rsid w:val="00E80589"/>
    <w:rsid w:val="00E907B3"/>
    <w:rsid w:val="00EB3EE4"/>
    <w:rsid w:val="00EE1934"/>
    <w:rsid w:val="00EE690A"/>
    <w:rsid w:val="00EF2D3D"/>
    <w:rsid w:val="00F034B7"/>
    <w:rsid w:val="00F14EC5"/>
    <w:rsid w:val="00F1789A"/>
    <w:rsid w:val="00F3154E"/>
    <w:rsid w:val="00F425AB"/>
    <w:rsid w:val="00FA4B4C"/>
    <w:rsid w:val="011E46EB"/>
    <w:rsid w:val="031A11BD"/>
    <w:rsid w:val="032C70CD"/>
    <w:rsid w:val="042C6BAB"/>
    <w:rsid w:val="0449611D"/>
    <w:rsid w:val="04F7599A"/>
    <w:rsid w:val="054F511E"/>
    <w:rsid w:val="05616BEE"/>
    <w:rsid w:val="05AA6043"/>
    <w:rsid w:val="065D58C0"/>
    <w:rsid w:val="06E84056"/>
    <w:rsid w:val="06FE3B96"/>
    <w:rsid w:val="071F73B3"/>
    <w:rsid w:val="077D5D24"/>
    <w:rsid w:val="07D27002"/>
    <w:rsid w:val="07F629A0"/>
    <w:rsid w:val="091E26EA"/>
    <w:rsid w:val="09317644"/>
    <w:rsid w:val="0A812477"/>
    <w:rsid w:val="0C40433F"/>
    <w:rsid w:val="0DCB3B54"/>
    <w:rsid w:val="0FB217AF"/>
    <w:rsid w:val="0FB2799E"/>
    <w:rsid w:val="10152918"/>
    <w:rsid w:val="105A2768"/>
    <w:rsid w:val="10A1573B"/>
    <w:rsid w:val="10B43BC1"/>
    <w:rsid w:val="111E117E"/>
    <w:rsid w:val="114B791E"/>
    <w:rsid w:val="11505300"/>
    <w:rsid w:val="11A17A14"/>
    <w:rsid w:val="12295A9F"/>
    <w:rsid w:val="15BB632B"/>
    <w:rsid w:val="15C4392F"/>
    <w:rsid w:val="15D340EA"/>
    <w:rsid w:val="16615977"/>
    <w:rsid w:val="168C318D"/>
    <w:rsid w:val="16AE6DA7"/>
    <w:rsid w:val="1960257D"/>
    <w:rsid w:val="19D941D6"/>
    <w:rsid w:val="1CB6407B"/>
    <w:rsid w:val="1DE56E00"/>
    <w:rsid w:val="1ED73189"/>
    <w:rsid w:val="20855E22"/>
    <w:rsid w:val="21587C67"/>
    <w:rsid w:val="22CC21A4"/>
    <w:rsid w:val="23141DA3"/>
    <w:rsid w:val="23251288"/>
    <w:rsid w:val="24B951B7"/>
    <w:rsid w:val="25D63F7C"/>
    <w:rsid w:val="26945C50"/>
    <w:rsid w:val="26C33689"/>
    <w:rsid w:val="26FE6F45"/>
    <w:rsid w:val="282C1E6E"/>
    <w:rsid w:val="28D2352A"/>
    <w:rsid w:val="28ED736B"/>
    <w:rsid w:val="29220F8B"/>
    <w:rsid w:val="29DE5841"/>
    <w:rsid w:val="2A9618EC"/>
    <w:rsid w:val="2AA45603"/>
    <w:rsid w:val="2B1A2077"/>
    <w:rsid w:val="2CA246FC"/>
    <w:rsid w:val="2CD752D7"/>
    <w:rsid w:val="2D027EED"/>
    <w:rsid w:val="2DEB4267"/>
    <w:rsid w:val="2E9977AD"/>
    <w:rsid w:val="2F944F64"/>
    <w:rsid w:val="2FA2409E"/>
    <w:rsid w:val="31880862"/>
    <w:rsid w:val="31B60A9D"/>
    <w:rsid w:val="31C9110F"/>
    <w:rsid w:val="32B035CA"/>
    <w:rsid w:val="33902823"/>
    <w:rsid w:val="33A33367"/>
    <w:rsid w:val="34C41D04"/>
    <w:rsid w:val="34CD617E"/>
    <w:rsid w:val="354A1F97"/>
    <w:rsid w:val="36365EE8"/>
    <w:rsid w:val="36C927EF"/>
    <w:rsid w:val="36E70546"/>
    <w:rsid w:val="378C6660"/>
    <w:rsid w:val="38DE5E51"/>
    <w:rsid w:val="390E539D"/>
    <w:rsid w:val="3C01795F"/>
    <w:rsid w:val="3C4A4143"/>
    <w:rsid w:val="3C5E598F"/>
    <w:rsid w:val="3C8F0E4F"/>
    <w:rsid w:val="3CAD2EC5"/>
    <w:rsid w:val="3CB81CC8"/>
    <w:rsid w:val="3D322E34"/>
    <w:rsid w:val="3D5E1016"/>
    <w:rsid w:val="3FB91BA4"/>
    <w:rsid w:val="3FC22752"/>
    <w:rsid w:val="40383B92"/>
    <w:rsid w:val="418879B1"/>
    <w:rsid w:val="41954468"/>
    <w:rsid w:val="41C140D6"/>
    <w:rsid w:val="421630A4"/>
    <w:rsid w:val="432B1A76"/>
    <w:rsid w:val="440C4340"/>
    <w:rsid w:val="44811DC9"/>
    <w:rsid w:val="450E3C66"/>
    <w:rsid w:val="454309A1"/>
    <w:rsid w:val="456D71FA"/>
    <w:rsid w:val="45781C16"/>
    <w:rsid w:val="45C47203"/>
    <w:rsid w:val="45E829E7"/>
    <w:rsid w:val="460C4FB7"/>
    <w:rsid w:val="465E4F22"/>
    <w:rsid w:val="467262F8"/>
    <w:rsid w:val="46F579AB"/>
    <w:rsid w:val="472949DE"/>
    <w:rsid w:val="48566E44"/>
    <w:rsid w:val="48593E6F"/>
    <w:rsid w:val="4AFF2E69"/>
    <w:rsid w:val="4BA610FC"/>
    <w:rsid w:val="4C7F3033"/>
    <w:rsid w:val="4CF51C39"/>
    <w:rsid w:val="4E994D7F"/>
    <w:rsid w:val="4ED2701A"/>
    <w:rsid w:val="4F1E4BBE"/>
    <w:rsid w:val="4F3537ED"/>
    <w:rsid w:val="4F8F3889"/>
    <w:rsid w:val="4FFE1B2F"/>
    <w:rsid w:val="51467837"/>
    <w:rsid w:val="51F9626A"/>
    <w:rsid w:val="52AA5DFE"/>
    <w:rsid w:val="533F6C66"/>
    <w:rsid w:val="544574F3"/>
    <w:rsid w:val="544F17E9"/>
    <w:rsid w:val="546D5003"/>
    <w:rsid w:val="54943EAC"/>
    <w:rsid w:val="54C11818"/>
    <w:rsid w:val="551C4139"/>
    <w:rsid w:val="58AC5C79"/>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19F7108"/>
    <w:rsid w:val="626D3847"/>
    <w:rsid w:val="62D41879"/>
    <w:rsid w:val="648A18F5"/>
    <w:rsid w:val="64C30585"/>
    <w:rsid w:val="651C53A6"/>
    <w:rsid w:val="659D6FA9"/>
    <w:rsid w:val="65DC5F2F"/>
    <w:rsid w:val="65F2007E"/>
    <w:rsid w:val="674136F1"/>
    <w:rsid w:val="68085778"/>
    <w:rsid w:val="688B43B5"/>
    <w:rsid w:val="68D3265E"/>
    <w:rsid w:val="69B07B1E"/>
    <w:rsid w:val="69E22ED5"/>
    <w:rsid w:val="6AA821A5"/>
    <w:rsid w:val="6B8A6BF3"/>
    <w:rsid w:val="6BD3613E"/>
    <w:rsid w:val="6BFA1460"/>
    <w:rsid w:val="6C013F77"/>
    <w:rsid w:val="6C181FB4"/>
    <w:rsid w:val="6C1D0861"/>
    <w:rsid w:val="6C464624"/>
    <w:rsid w:val="6C530112"/>
    <w:rsid w:val="6C611252"/>
    <w:rsid w:val="6CCC1A8E"/>
    <w:rsid w:val="6D46310F"/>
    <w:rsid w:val="6FCE2720"/>
    <w:rsid w:val="72C52A77"/>
    <w:rsid w:val="73362333"/>
    <w:rsid w:val="73437573"/>
    <w:rsid w:val="739402F8"/>
    <w:rsid w:val="74CC0B4E"/>
    <w:rsid w:val="755C76C8"/>
    <w:rsid w:val="76382CBE"/>
    <w:rsid w:val="763E46A7"/>
    <w:rsid w:val="76B47A3E"/>
    <w:rsid w:val="77340656"/>
    <w:rsid w:val="77A91566"/>
    <w:rsid w:val="77E167B8"/>
    <w:rsid w:val="78591F3E"/>
    <w:rsid w:val="78CA1EAE"/>
    <w:rsid w:val="7B3065F7"/>
    <w:rsid w:val="7B8363CD"/>
    <w:rsid w:val="7C3F4445"/>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2021-09-27T06:45:00Z</cp:lastPrinted>
  <dcterms:modified xsi:type="dcterms:W3CDTF">2021-09-27T07:52:45Z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