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highlight w:val="none"/>
          <w:lang w:val="en-US" w:eastAsia="zh-CN"/>
        </w:rPr>
        <w:t>029</w:t>
      </w:r>
      <w:r>
        <w:rPr>
          <w:rFonts w:hint="eastAsia" w:ascii="仿宋_GB2312" w:eastAsia="仿宋_GB2312"/>
          <w:sz w:val="32"/>
          <w:szCs w:val="32"/>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eastAsia="仿宋_GB2312"/>
          <w:sz w:val="32"/>
          <w:szCs w:val="32"/>
          <w:highlight w:val="none"/>
          <w:lang w:val="en-US" w:eastAsia="zh-CN"/>
        </w:rPr>
        <w:t>惠州市人民政府</w:t>
      </w:r>
      <w:r>
        <w:rPr>
          <w:rFonts w:hint="eastAsia" w:ascii="仿宋_GB2312" w:hAnsi="仿宋_GB2312" w:eastAsia="仿宋_GB2312" w:cs="仿宋_GB2312"/>
          <w:sz w:val="32"/>
          <w:szCs w:val="32"/>
          <w:highlight w:val="none"/>
        </w:rPr>
        <w:t>批准，</w:t>
      </w:r>
      <w:r>
        <w:rPr>
          <w:rFonts w:hint="eastAsia" w:ascii="仿宋_GB2312" w:eastAsia="仿宋_GB2312"/>
          <w:sz w:val="32"/>
          <w:szCs w:val="32"/>
          <w:highlight w:val="none"/>
          <w:lang w:val="en-US" w:eastAsia="zh-CN"/>
        </w:rPr>
        <w:t>惠州市自然资源局</w:t>
      </w:r>
      <w:r>
        <w:rPr>
          <w:rFonts w:hint="eastAsia" w:ascii="仿宋_GB2312" w:hAnsi="仿宋_GB2312" w:eastAsia="仿宋_GB2312" w:cs="仿宋_GB2312"/>
          <w:sz w:val="32"/>
          <w:szCs w:val="32"/>
          <w:highlight w:val="none"/>
        </w:rPr>
        <w:t>决定以网上挂牌方式出让</w:t>
      </w:r>
      <w:r>
        <w:rPr>
          <w:rFonts w:hint="eastAsia" w:ascii="仿宋_GB2312" w:hAnsi="仿宋_GB2312" w:eastAsia="仿宋_GB2312" w:cs="仿宋_GB2312"/>
          <w:sz w:val="32"/>
          <w:szCs w:val="32"/>
        </w:rPr>
        <w:t>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highlight w:val="none"/>
        </w:rPr>
        <w:t>网上挂牌竞买时间为</w:t>
      </w:r>
      <w:r>
        <w:rPr>
          <w:rFonts w:hint="eastAsia" w:ascii="仿宋_GB2312" w:eastAsia="仿宋_GB2312"/>
          <w:sz w:val="32"/>
          <w:szCs w:val="32"/>
          <w:highlight w:val="none"/>
          <w:lang w:val="en-US" w:eastAsia="zh-CN"/>
        </w:rPr>
        <w:t>2021年10月8日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时至</w:t>
      </w:r>
      <w:r>
        <w:rPr>
          <w:rFonts w:hint="eastAsia" w:ascii="仿宋_GB2312" w:eastAsia="仿宋_GB2312"/>
          <w:sz w:val="32"/>
          <w:szCs w:val="32"/>
          <w:highlight w:val="none"/>
          <w:lang w:val="en-US" w:eastAsia="zh-CN"/>
        </w:rPr>
        <w:t>2021年10月21日</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挂牌起始价为人民币</w:t>
      </w:r>
      <w:r>
        <w:rPr>
          <w:rFonts w:hint="eastAsia" w:ascii="仿宋_GB2312" w:eastAsia="仿宋_GB2312"/>
          <w:sz w:val="32"/>
          <w:szCs w:val="32"/>
          <w:highlight w:val="none"/>
          <w:lang w:val="en-US" w:eastAsia="zh-CN"/>
        </w:rPr>
        <w:t>59400万元</w:t>
      </w:r>
      <w:r>
        <w:rPr>
          <w:rFonts w:hint="eastAsia" w:ascii="仿宋_GB2312" w:hAnsi="仿宋_GB2312" w:eastAsia="仿宋_GB2312" w:cs="仿宋_GB2312"/>
          <w:sz w:val="32"/>
          <w:szCs w:val="32"/>
          <w:highlight w:val="none"/>
        </w:rPr>
        <w:t>,每次报价加价幅度为人民币</w:t>
      </w:r>
      <w:r>
        <w:rPr>
          <w:rFonts w:hint="eastAsia" w:ascii="仿宋_GB2312" w:eastAsia="仿宋_GB2312"/>
          <w:sz w:val="32"/>
          <w:szCs w:val="32"/>
          <w:highlight w:val="none"/>
          <w:lang w:val="en-US" w:eastAsia="zh-CN"/>
        </w:rPr>
        <w:t>1000万元</w:t>
      </w:r>
      <w:r>
        <w:rPr>
          <w:rFonts w:hint="eastAsia" w:ascii="仿宋_GB2312" w:hAnsi="仿宋_GB2312" w:eastAsia="仿宋_GB2312" w:cs="仿宋_GB2312"/>
          <w:sz w:val="32"/>
          <w:szCs w:val="32"/>
          <w:highlight w:val="none"/>
        </w:rPr>
        <w:t>的整数倍</w:t>
      </w:r>
      <w:r>
        <w:rPr>
          <w:rFonts w:hint="eastAsia" w:ascii="仿宋_GB2312" w:hAnsi="仿宋_GB2312" w:eastAsia="仿宋_GB2312" w:cs="仿宋_GB2312"/>
          <w:sz w:val="32"/>
          <w:szCs w:val="32"/>
        </w:rPr>
        <w:t>。</w:t>
      </w:r>
    </w:p>
    <w:p>
      <w:pPr>
        <w:spacing w:line="520" w:lineRule="exact"/>
        <w:ind w:firstLine="720" w:firstLineChars="22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竞买资格及要求</w:t>
      </w:r>
    </w:p>
    <w:p>
      <w:pPr>
        <w:spacing w:line="520" w:lineRule="exact"/>
        <w:ind w:firstLine="720" w:firstLineChars="225"/>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中华人民共和国境内外的法人和其他组织（除法律法规另有规定外），符合以下要求均可申请参加竞买：竞买申请</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rPr>
        <w:t>需具备房地产开发资质，且同一企业及控股公司只允许一家企业参与竞买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申请企业可以单独申请，也可以联合申请：</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cs="Times New Roman"/>
          <w:szCs w:val="32"/>
          <w:lang w:val="en-US" w:eastAsia="zh-CN"/>
        </w:rPr>
        <w:t>1</w:t>
      </w:r>
      <w:r>
        <w:rPr>
          <w:rFonts w:hint="eastAsia" w:ascii="Times New Roman" w:hAnsi="Times New Roman" w:cs="Times New Roman"/>
          <w:szCs w:val="32"/>
          <w:lang w:val="en-US" w:eastAsia="zh-CN"/>
        </w:rPr>
        <w:t>、</w:t>
      </w:r>
      <w:r>
        <w:rPr>
          <w:rFonts w:hint="default" w:ascii="Times New Roman" w:hAnsi="Times New Roman" w:cs="Times New Roman"/>
          <w:szCs w:val="32"/>
        </w:rPr>
        <w:t>单独申请竞买的，竞买申请人为非本市注册登记的企业，在竞得土地后，必须于</w:t>
      </w:r>
      <w:r>
        <w:rPr>
          <w:rFonts w:hint="default" w:ascii="Times New Roman" w:hAnsi="Times New Roman" w:eastAsia="仿宋_GB2312" w:cs="Times New Roman"/>
          <w:kern w:val="2"/>
          <w:sz w:val="32"/>
          <w:szCs w:val="22"/>
          <w:lang w:val="en-US" w:eastAsia="zh-CN" w:bidi="ar-SA"/>
        </w:rPr>
        <w:t>2</w:t>
      </w:r>
      <w:r>
        <w:rPr>
          <w:rFonts w:hint="default" w:ascii="Times New Roman" w:hAnsi="Times New Roman" w:cs="Times New Roman"/>
          <w:szCs w:val="32"/>
        </w:rPr>
        <w:t>个月内在本市工商行政管理部门注册成立项目开发公司，并以该公司名义办理土地出让与登记发证手续。新成立公司必须是竞得人的全资子公司，即新公司的股东必须</w:t>
      </w:r>
      <w:r>
        <w:rPr>
          <w:rFonts w:hint="default" w:ascii="Times New Roman" w:hAnsi="Times New Roman" w:eastAsia="仿宋_GB2312" w:cs="Times New Roman"/>
          <w:kern w:val="2"/>
          <w:sz w:val="32"/>
          <w:szCs w:val="22"/>
          <w:lang w:val="en-US" w:eastAsia="zh-CN" w:bidi="ar-SA"/>
        </w:rPr>
        <w:t>100</w:t>
      </w:r>
      <w:r>
        <w:rPr>
          <w:rFonts w:hint="default" w:ascii="Times New Roman" w:hAnsi="Times New Roman" w:cs="Times New Roman"/>
          <w:szCs w:val="32"/>
        </w:rPr>
        <w:t>%是竞买申请企业作为法人的股东。根据挂牌出让结果，可先与竞得人签订《出让合同》，在竞得人按约定办理完新公司注册登记手续后，再与新公司签订国有建设用地使用权出让合同</w:t>
      </w:r>
      <w:r>
        <w:rPr>
          <w:rFonts w:hint="default" w:ascii="Times New Roman" w:hAnsi="Times New Roman" w:cs="Times New Roman"/>
          <w:szCs w:val="32"/>
          <w:lang w:val="en-US" w:eastAsia="zh-CN"/>
        </w:rPr>
        <w:t>补充</w:t>
      </w:r>
      <w:r>
        <w:rPr>
          <w:rFonts w:hint="default" w:ascii="Times New Roman" w:hAnsi="Times New Roman" w:cs="Times New Roman"/>
          <w:szCs w:val="32"/>
        </w:rPr>
        <w:t>协议；也可按约定直接与新公司签订《出让合同》。</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w:t>
      </w:r>
      <w:r>
        <w:rPr>
          <w:rFonts w:hint="default" w:ascii="Times New Roman" w:hAnsi="Times New Roman" w:cs="Times New Roman"/>
          <w:szCs w:val="32"/>
        </w:rPr>
        <w:t>联合申请竞买的，联合竞买人在提交竞买申请材料时，须提交一份联合竞买申请书和协议，协议主要规定联合各方的权利和义务、参与竞买的代表人、联合各方的出资比例等。联合竞买申请人竞得土地后须于</w:t>
      </w:r>
      <w:r>
        <w:rPr>
          <w:rFonts w:hint="default" w:ascii="Times New Roman" w:hAnsi="Times New Roman" w:eastAsia="仿宋_GB2312" w:cs="Times New Roman"/>
          <w:kern w:val="2"/>
          <w:sz w:val="32"/>
          <w:szCs w:val="22"/>
          <w:lang w:val="en-US" w:eastAsia="zh-CN" w:bidi="ar-SA"/>
        </w:rPr>
        <w:t>2</w:t>
      </w:r>
      <w:r>
        <w:rPr>
          <w:rFonts w:hint="default" w:ascii="Times New Roman" w:hAnsi="Times New Roman" w:cs="Times New Roman"/>
          <w:szCs w:val="32"/>
        </w:rPr>
        <w:t>个月内在本市工商行政管理部门按照申请书申报的出资人及出资比例设立新公司。根据挂牌出让结果，可先与竞得人签订《出让合同》</w:t>
      </w:r>
      <w:r>
        <w:rPr>
          <w:rFonts w:hint="eastAsia" w:ascii="Times New Roman" w:hAnsi="Times New Roman" w:cs="Times New Roman"/>
          <w:szCs w:val="32"/>
          <w:lang w:eastAsia="zh-CN"/>
        </w:rPr>
        <w:t>，</w:t>
      </w:r>
      <w:r>
        <w:rPr>
          <w:rFonts w:hint="default" w:ascii="Times New Roman" w:hAnsi="Times New Roman" w:cs="Times New Roman"/>
          <w:szCs w:val="32"/>
        </w:rPr>
        <w:t>在竞得人按约定办理完新公司注册登记手续后，再与新公司签订国有建设用地使用权出让合同</w:t>
      </w:r>
      <w:r>
        <w:rPr>
          <w:rFonts w:hint="default" w:ascii="Times New Roman" w:hAnsi="Times New Roman" w:cs="Times New Roman"/>
          <w:szCs w:val="32"/>
          <w:lang w:val="en-US" w:eastAsia="zh-CN"/>
        </w:rPr>
        <w:t>补充</w:t>
      </w:r>
      <w:r>
        <w:rPr>
          <w:rFonts w:hint="default" w:ascii="Times New Roman" w:hAnsi="Times New Roman" w:cs="Times New Roman"/>
          <w:szCs w:val="32"/>
        </w:rPr>
        <w:t>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二</w:t>
      </w:r>
      <w:r>
        <w:rPr>
          <w:rFonts w:hint="default" w:ascii="Times New Roman" w:hAnsi="Times New Roman" w:eastAsia="仿宋_GB2312" w:cs="Times New Roman"/>
          <w:kern w:val="2"/>
          <w:sz w:val="32"/>
          <w:szCs w:val="32"/>
          <w:lang w:val="en-US" w:eastAsia="zh-CN" w:bidi="ar-SA"/>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default" w:ascii="Times New Roman" w:hAnsi="Times New Roman" w:eastAsia="仿宋_GB2312" w:cs="Times New Roman"/>
          <w:kern w:val="2"/>
          <w:sz w:val="32"/>
          <w:szCs w:val="32"/>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eastAsia="仿宋_GB2312" w:cs="仿宋_GB2312"/>
          <w:szCs w:val="32"/>
          <w:lang w:val="en-US" w:eastAsia="zh-CN"/>
        </w:rPr>
      </w:pPr>
      <w:r>
        <w:rPr>
          <w:rFonts w:hint="eastAsia" w:hAnsi="仿宋_GB2312" w:cs="仿宋_GB2312"/>
          <w:szCs w:val="32"/>
          <w:lang w:val="en-US" w:eastAsia="zh-CN"/>
        </w:rPr>
        <w:t>五</w:t>
      </w:r>
      <w:r>
        <w:rPr>
          <w:rFonts w:hint="eastAsia" w:hAnsi="仿宋_GB2312" w:cs="仿宋_GB2312"/>
          <w:szCs w:val="32"/>
        </w:rPr>
        <w:t>、</w:t>
      </w:r>
      <w:r>
        <w:rPr>
          <w:rFonts w:hint="default" w:ascii="Times New Roman" w:hAnsi="Times New Roman" w:cs="Times New Roman"/>
          <w:szCs w:val="32"/>
        </w:rPr>
        <w:t>该宗地竞买保证金可用人民币及外币（暂限于美元、港币）支付</w:t>
      </w:r>
      <w:r>
        <w:rPr>
          <w:rFonts w:hint="eastAsia" w:ascii="Times New Roman" w:hAnsi="Times New Roman" w:cs="Times New Roman"/>
          <w:szCs w:val="32"/>
          <w:lang w:eastAsia="zh-CN"/>
        </w:rPr>
        <w:t>。</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六</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w:t>
      </w:r>
      <w:r>
        <w:rPr>
          <w:rFonts w:hint="default" w:ascii="Times New Roman" w:hAnsi="Times New Roman" w:cs="Times New Roman"/>
          <w:szCs w:val="32"/>
        </w:rPr>
        <w:t>缴交竞买保证金</w:t>
      </w:r>
      <w:r>
        <w:rPr>
          <w:rFonts w:hint="eastAsia" w:ascii="Times New Roman" w:hAnsi="Times New Roman" w:cs="Times New Roman"/>
          <w:b w:val="0"/>
          <w:bCs w:val="0"/>
          <w:kern w:val="2"/>
          <w:sz w:val="32"/>
          <w:szCs w:val="32"/>
          <w:lang w:val="en-US" w:eastAsia="zh-CN" w:bidi="ar-SA"/>
        </w:rPr>
        <w:t>17820</w:t>
      </w:r>
      <w:r>
        <w:rPr>
          <w:rFonts w:hint="default" w:ascii="Times New Roman" w:hAnsi="Times New Roman" w:cs="Times New Roman"/>
          <w:szCs w:val="32"/>
        </w:rPr>
        <w:t>万元人民币，如以外币缴交竞买保证金的，须缴交</w:t>
      </w:r>
      <w:r>
        <w:rPr>
          <w:rFonts w:hint="default" w:ascii="Times New Roman" w:hAnsi="Times New Roman" w:eastAsia="仿宋_GB2312" w:cs="Times New Roman"/>
          <w:color w:val="000000"/>
          <w:sz w:val="32"/>
          <w:szCs w:val="32"/>
        </w:rPr>
        <w:t>美元</w:t>
      </w:r>
      <w:r>
        <w:rPr>
          <w:rFonts w:hint="eastAsia" w:ascii="Times New Roman" w:hAnsi="Times New Roman" w:cs="Times New Roman"/>
          <w:b w:val="0"/>
          <w:bCs w:val="0"/>
          <w:kern w:val="2"/>
          <w:sz w:val="32"/>
          <w:szCs w:val="32"/>
          <w:lang w:val="en-US" w:eastAsia="zh-CN" w:bidi="ar-SA"/>
        </w:rPr>
        <w:t>2762</w:t>
      </w:r>
      <w:r>
        <w:rPr>
          <w:rFonts w:hint="default" w:ascii="Times New Roman" w:hAnsi="Times New Roman" w:eastAsia="仿宋_GB2312" w:cs="Times New Roman"/>
          <w:color w:val="000000"/>
          <w:sz w:val="32"/>
          <w:szCs w:val="32"/>
        </w:rPr>
        <w:t>万元</w:t>
      </w:r>
      <w:r>
        <w:rPr>
          <w:rFonts w:hint="default" w:ascii="Times New Roman" w:hAnsi="Times New Roman" w:cs="Times New Roman"/>
          <w:color w:val="000000"/>
          <w:sz w:val="32"/>
          <w:szCs w:val="32"/>
          <w:lang w:eastAsia="zh-CN"/>
        </w:rPr>
        <w:t>或</w:t>
      </w:r>
      <w:r>
        <w:rPr>
          <w:rFonts w:hint="default" w:ascii="Times New Roman" w:hAnsi="Times New Roman" w:eastAsia="仿宋_GB2312" w:cs="Times New Roman"/>
          <w:color w:val="000000"/>
          <w:sz w:val="32"/>
          <w:szCs w:val="32"/>
        </w:rPr>
        <w:t>港币</w:t>
      </w:r>
      <w:r>
        <w:rPr>
          <w:rFonts w:hint="eastAsia" w:ascii="Times New Roman" w:hAnsi="Times New Roman" w:cs="Times New Roman"/>
          <w:b w:val="0"/>
          <w:bCs w:val="0"/>
          <w:kern w:val="2"/>
          <w:sz w:val="32"/>
          <w:szCs w:val="32"/>
          <w:lang w:val="en-US" w:eastAsia="zh-CN" w:bidi="ar-SA"/>
        </w:rPr>
        <w:t>21463</w:t>
      </w:r>
      <w:r>
        <w:rPr>
          <w:rFonts w:hint="default" w:ascii="Times New Roman" w:hAnsi="Times New Roman" w:eastAsia="仿宋_GB2312" w:cs="Times New Roman"/>
          <w:color w:val="000000"/>
          <w:sz w:val="32"/>
          <w:szCs w:val="32"/>
        </w:rPr>
        <w:t>万元</w:t>
      </w:r>
      <w:r>
        <w:rPr>
          <w:rFonts w:hint="eastAsia" w:hAnsi="仿宋_GB2312" w:cs="仿宋_GB2312"/>
          <w:szCs w:val="32"/>
          <w:highlight w:val="none"/>
        </w:rPr>
        <w:t>。</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cs="Times New Roman"/>
          <w:szCs w:val="32"/>
        </w:rPr>
        <w:t>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cs="Times New Roman"/>
          <w:szCs w:val="32"/>
        </w:rPr>
        <w:t>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cs="Times New Roman"/>
          <w:szCs w:val="32"/>
        </w:rPr>
        <w:t>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cs="Times New Roman"/>
          <w:szCs w:val="32"/>
        </w:rPr>
        <w:t>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cs="Times New Roman"/>
          <w:szCs w:val="32"/>
        </w:rPr>
        <w:t>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cs="Times New Roman"/>
          <w:szCs w:val="32"/>
        </w:rPr>
        <w:t>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color w:val="000000"/>
          <w:sz w:val="32"/>
          <w:szCs w:val="32"/>
          <w:lang w:val="en-US" w:eastAsia="zh-CN"/>
        </w:rPr>
        <w:t>购地资金超过“三道红线”，存在重大失信行为的</w:t>
      </w:r>
      <w:r>
        <w:rPr>
          <w:rFonts w:hint="default" w:ascii="Times New Roman" w:hAnsi="Times New Roman" w:eastAsia="仿宋_GB2312" w:cs="Times New Roman"/>
          <w:color w:val="000000"/>
          <w:sz w:val="32"/>
          <w:szCs w:val="32"/>
        </w:rPr>
        <w:t>；</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Times New Roman" w:hAnsi="Times New Roman" w:cs="Times New Roman"/>
          <w:szCs w:val="32"/>
        </w:rPr>
      </w:pPr>
      <w:r>
        <w:rPr>
          <w:rFonts w:hint="default" w:ascii="Times New Roman" w:hAnsi="Times New Roman" w:eastAsia="仿宋_GB2312" w:cs="Times New Roman"/>
          <w:kern w:val="2"/>
          <w:sz w:val="32"/>
          <w:szCs w:val="32"/>
          <w:lang w:val="en-US" w:eastAsia="zh-CN" w:bidi="ar-SA"/>
        </w:rPr>
        <w:t>8</w:t>
      </w:r>
      <w:r>
        <w:rPr>
          <w:rFonts w:hint="default" w:ascii="Times New Roman" w:hAnsi="Times New Roman" w:cs="Times New Roman"/>
          <w:szCs w:val="32"/>
          <w:lang w:val="en-US" w:eastAsia="zh-CN"/>
        </w:rPr>
        <w:t>、</w:t>
      </w:r>
      <w:r>
        <w:rPr>
          <w:rFonts w:hint="default" w:ascii="Times New Roman" w:hAnsi="Times New Roman" w:cs="Times New Roman"/>
          <w:szCs w:val="32"/>
        </w:rPr>
        <w:t>存在其它被禁止竞买土地行为的。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highlight w:val="none"/>
          <w:lang w:val="en-US" w:eastAsia="zh-CN"/>
        </w:rPr>
        <w:t>本次国有建设用地使用权网上挂牌</w:t>
      </w:r>
      <w:r>
        <w:rPr>
          <w:rFonts w:hint="default" w:ascii="Times New Roman" w:hAnsi="Times New Roman" w:eastAsia="仿宋_GB2312" w:cs="Times New Roman"/>
          <w:sz w:val="32"/>
          <w:szCs w:val="32"/>
          <w:highlight w:val="none"/>
          <w:lang w:val="en-US" w:eastAsia="zh-CN"/>
        </w:rPr>
        <w:t>竞价达到</w:t>
      </w:r>
      <w:r>
        <w:rPr>
          <w:rFonts w:hint="default" w:ascii="Times New Roman" w:hAnsi="Times New Roman" w:eastAsia="仿宋_GB2312" w:cs="Times New Roman"/>
          <w:b w:val="0"/>
          <w:bCs w:val="0"/>
          <w:kern w:val="2"/>
          <w:sz w:val="32"/>
          <w:szCs w:val="32"/>
          <w:highlight w:val="none"/>
          <w:lang w:val="en-US" w:eastAsia="zh-CN" w:bidi="ar-SA"/>
        </w:rPr>
        <w:t>68310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转为采</w:t>
      </w:r>
      <w:r>
        <w:rPr>
          <w:rFonts w:hint="default" w:ascii="Times New Roman" w:hAnsi="Times New Roman" w:eastAsia="仿宋_GB2312" w:cs="Times New Roman"/>
          <w:sz w:val="32"/>
          <w:szCs w:val="32"/>
          <w:highlight w:val="none"/>
          <w:lang w:val="en-US" w:eastAsia="zh-CN"/>
        </w:rPr>
        <w:t>取</w:t>
      </w:r>
      <w:r>
        <w:rPr>
          <w:rFonts w:hint="default" w:ascii="Times New Roman" w:hAnsi="Times New Roman" w:eastAsia="仿宋_GB2312" w:cs="Times New Roman"/>
          <w:sz w:val="32"/>
          <w:szCs w:val="32"/>
          <w:highlight w:val="none"/>
        </w:rPr>
        <w:t>摇号方式确定竞得人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w:t>
      </w:r>
      <w:r>
        <w:rPr>
          <w:rFonts w:hint="eastAsia" w:ascii="仿宋_GB2312" w:hAnsi="仿宋_GB2312" w:eastAsia="仿宋_GB2312" w:cs="仿宋_GB2312"/>
          <w:sz w:val="32"/>
          <w:szCs w:val="32"/>
          <w:highlight w:val="none"/>
        </w:rPr>
        <w:t>为</w:t>
      </w:r>
      <w:r>
        <w:rPr>
          <w:rFonts w:hint="eastAsia" w:ascii="仿宋_GB2312" w:eastAsia="仿宋_GB2312"/>
          <w:sz w:val="32"/>
          <w:szCs w:val="32"/>
          <w:highlight w:val="none"/>
          <w:lang w:val="en-US" w:eastAsia="zh-CN"/>
        </w:rPr>
        <w:t>2021年10月21日</w:t>
      </w:r>
      <w:r>
        <w:rPr>
          <w:rFonts w:hint="eastAsia" w:ascii="仿宋_GB2312" w:hAnsi="仿宋_GB2312" w:eastAsia="仿宋_GB2312" w:cs="仿宋_GB2312"/>
          <w:sz w:val="32"/>
          <w:szCs w:val="32"/>
          <w:highlight w:val="none"/>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highlight w:val="none"/>
          <w:lang w:val="en-US" w:eastAsia="zh-CN"/>
        </w:rPr>
        <w:t>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w:t>
      </w:r>
      <w:r>
        <w:rPr>
          <w:rFonts w:hint="default" w:ascii="Times New Roman" w:hAnsi="Times New Roman" w:eastAsia="仿宋_GB2312" w:cs="Times New Roman"/>
          <w:sz w:val="32"/>
          <w:szCs w:val="32"/>
        </w:rPr>
        <w:t>余额转作土地成交价款。</w:t>
      </w:r>
    </w:p>
    <w:p>
      <w:pPr>
        <w:keepNext w:val="0"/>
        <w:keepLines w:val="0"/>
        <w:pageBreakBefore w:val="0"/>
        <w:kinsoku/>
        <w:wordWrap/>
        <w:overflowPunct/>
        <w:topLinePunct w:val="0"/>
        <w:bidi w:val="0"/>
        <w:spacing w:line="560" w:lineRule="exact"/>
        <w:ind w:firstLine="55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以外币缴交竞买保证金的，扣除定金后余额部分返回给竞得人，待竞得人按时缴清土地成交价款后，再将定金退还，不计利息。</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Times New Roman" w:hAnsi="Times New Roman" w:eastAsia="仿宋_GB2312" w:cs="Times New Roman"/>
          <w:b w:val="0"/>
          <w:bCs w:val="0"/>
          <w:kern w:val="2"/>
          <w:sz w:val="32"/>
          <w:szCs w:val="32"/>
          <w:lang w:val="en-US" w:eastAsia="zh-CN" w:bidi="ar-SA"/>
        </w:rPr>
        <w:t>84900</w:t>
      </w:r>
      <w:r>
        <w:rPr>
          <w:rFonts w:hint="default" w:ascii="Times New Roman" w:hAnsi="Times New Roman" w:eastAsia="仿宋_GB2312" w:cs="Times New Roman"/>
          <w:sz w:val="32"/>
          <w:szCs w:val="32"/>
        </w:rPr>
        <w:t>万元（含地价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不含地价溢价部分）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）竞得人在用地红线内开发建设必须符合城市规划要求，必须按《规划设计条件</w:t>
      </w:r>
      <w:r>
        <w:rPr>
          <w:rFonts w:hint="eastAsia" w:ascii="仿宋_GB2312" w:hAnsi="仿宋_GB2312" w:eastAsia="仿宋_GB2312" w:cs="仿宋_GB2312"/>
          <w:sz w:val="32"/>
          <w:szCs w:val="32"/>
          <w:lang w:val="en-US" w:eastAsia="zh-CN"/>
        </w:rPr>
        <w:t>告知书</w:t>
      </w:r>
      <w:r>
        <w:rPr>
          <w:rFonts w:hint="eastAsia" w:ascii="仿宋_GB2312" w:hAnsi="仿宋_GB2312" w:eastAsia="仿宋_GB2312" w:cs="仿宋_GB2312"/>
          <w:sz w:val="32"/>
          <w:szCs w:val="32"/>
        </w:rPr>
        <w:t>》（案卷编号：PB20210013）规划控制指标要求及有关规定进行规划设计。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该地权利清晰，安置补偿落实到位，没有法律经济纠纷，具备动工开发所必须的基本条件</w:t>
      </w:r>
      <w:r>
        <w:rPr>
          <w:rFonts w:hint="eastAsia" w:ascii="仿宋_GB2312" w:hAnsi="仿宋_GB2312" w:eastAsia="仿宋_GB2312" w:cs="仿宋_GB2312"/>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w:t>
      </w:r>
      <w:r>
        <w:rPr>
          <w:rFonts w:hint="default" w:ascii="Times New Roman" w:hAnsi="Times New Roman" w:eastAsia="仿宋_GB2312" w:cs="Times New Roman"/>
          <w:kern w:val="2"/>
          <w:sz w:val="32"/>
          <w:szCs w:val="32"/>
          <w:lang w:val="en-US" w:eastAsia="zh-CN" w:bidi="ar-SA"/>
        </w:rPr>
        <w:t>该地块所建单套毛坯商品住宅销售单价不高于18694元/㎡</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sz w:val="32"/>
          <w:szCs w:val="32"/>
        </w:rPr>
        <w:t>竞得人有下列行为之一的，取消竞得人资格，竞买保证金</w:t>
      </w:r>
      <w:r>
        <w:rPr>
          <w:rFonts w:hint="eastAsia" w:ascii="Times New Roman" w:hAnsi="Times New Roman" w:eastAsia="仿宋_GB2312" w:cs="Times New Roman"/>
          <w:sz w:val="32"/>
          <w:szCs w:val="32"/>
          <w:lang w:val="en-US" w:eastAsia="zh-CN"/>
        </w:rPr>
        <w:t>不予退还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并由有关部门依法处理;造成损失的，竞得人还应依法承担赔偿责任</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地址：</w:t>
      </w:r>
      <w:r>
        <w:rPr>
          <w:rFonts w:hint="default" w:ascii="Times New Roman" w:hAnsi="Times New Roman" w:eastAsia="仿宋_GB2312" w:cs="Times New Roman"/>
          <w:sz w:val="32"/>
          <w:szCs w:val="32"/>
        </w:rPr>
        <w:t>惠州市江北三新南路7号</w:t>
      </w:r>
    </w:p>
    <w:p>
      <w:pPr>
        <w:spacing w:line="520" w:lineRule="exact"/>
        <w:ind w:right="640"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张工</w:t>
      </w:r>
    </w:p>
    <w:p>
      <w:pPr>
        <w:spacing w:line="520" w:lineRule="exact"/>
        <w:ind w:right="64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仿宋_GB2312" w:hAnsi="仿宋_GB2312" w:eastAsia="仿宋_GB2312" w:cs="仿宋_GB2312"/>
          <w:color w:val="auto"/>
          <w:kern w:val="2"/>
          <w:sz w:val="32"/>
          <w:szCs w:val="32"/>
          <w:highlight w:val="none"/>
          <w:lang w:val="en-US" w:eastAsia="zh-CN" w:bidi="ar-SA"/>
        </w:rPr>
        <w:t>（0752）2896269</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罗工</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rPr>
        <w:t>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default"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2021年9月15日</w:t>
      </w:r>
    </w:p>
    <w:p>
      <w:pPr>
        <w:keepNext w:val="0"/>
        <w:keepLines w:val="0"/>
        <w:pageBreakBefore w:val="0"/>
        <w:widowControl w:val="0"/>
        <w:kinsoku/>
        <w:wordWrap/>
        <w:overflowPunct/>
        <w:topLinePunct w:val="0"/>
        <w:bidi w:val="0"/>
        <w:spacing w:line="560" w:lineRule="exact"/>
        <w:textAlignment w:val="auto"/>
        <w:rPr>
          <w:rFonts w:hint="eastAsia" w:ascii="黑体" w:hAnsi="黑体" w:eastAsia="黑体"/>
          <w:sz w:val="32"/>
          <w:szCs w:val="32"/>
        </w:rPr>
      </w:pPr>
      <w:r>
        <w:rPr>
          <w:rFonts w:hint="eastAsia" w:ascii="黑体" w:hAnsi="黑体" w:eastAsia="黑体"/>
          <w:sz w:val="32"/>
          <w:szCs w:val="32"/>
        </w:rPr>
        <w:t>附表</w:t>
      </w:r>
    </w:p>
    <w:p>
      <w:pPr>
        <w:keepNext w:val="0"/>
        <w:keepLines w:val="0"/>
        <w:pageBreakBefore w:val="0"/>
        <w:widowControl w:val="0"/>
        <w:tabs>
          <w:tab w:val="left" w:pos="9720"/>
        </w:tabs>
        <w:kinsoku/>
        <w:wordWrap/>
        <w:overflowPunct/>
        <w:topLinePunct w:val="0"/>
        <w:bidi w:val="0"/>
        <w:spacing w:line="560" w:lineRule="exact"/>
        <w:jc w:val="center"/>
        <w:textAlignment w:val="auto"/>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keepNext w:val="0"/>
        <w:keepLines w:val="0"/>
        <w:pageBreakBefore w:val="0"/>
        <w:widowControl w:val="0"/>
        <w:kinsoku/>
        <w:wordWrap/>
        <w:overflowPunct/>
        <w:topLinePunct w:val="0"/>
        <w:bidi w:val="0"/>
        <w:spacing w:line="560" w:lineRule="exact"/>
        <w:textAlignment w:val="auto"/>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挂牌地块编号</w:t>
            </w:r>
          </w:p>
        </w:tc>
        <w:tc>
          <w:tcPr>
            <w:tcW w:w="690" w:type="dxa"/>
            <w:vMerge w:val="restar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土地</w:t>
            </w:r>
          </w:p>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位置</w:t>
            </w:r>
          </w:p>
        </w:tc>
        <w:tc>
          <w:tcPr>
            <w:tcW w:w="615" w:type="dxa"/>
            <w:vMerge w:val="restart"/>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lang w:val="en-US" w:eastAsia="zh-CN"/>
              </w:rPr>
              <w:t>土地</w:t>
            </w:r>
            <w:r>
              <w:rPr>
                <w:rFonts w:hint="eastAsia" w:ascii="仿宋_GB2312" w:eastAsia="仿宋_GB2312"/>
                <w:b/>
                <w:bCs/>
                <w:szCs w:val="21"/>
                <w:highlight w:val="none"/>
              </w:rPr>
              <w:t>编号</w:t>
            </w:r>
          </w:p>
        </w:tc>
        <w:tc>
          <w:tcPr>
            <w:tcW w:w="570" w:type="dxa"/>
            <w:vMerge w:val="restart"/>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土地</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用途</w:t>
            </w:r>
          </w:p>
        </w:tc>
        <w:tc>
          <w:tcPr>
            <w:tcW w:w="774" w:type="dxa"/>
            <w:vMerge w:val="restar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宗地使用权面积（</w:t>
            </w:r>
            <w:r>
              <w:rPr>
                <w:rFonts w:hint="eastAsia" w:ascii="宋体" w:hAnsi="宋体" w:cs="宋体"/>
                <w:b/>
                <w:bCs/>
                <w:szCs w:val="21"/>
                <w:highlight w:val="none"/>
              </w:rPr>
              <w:t>㎡</w:t>
            </w:r>
            <w:r>
              <w:rPr>
                <w:rFonts w:hint="eastAsia" w:ascii="仿宋_GB2312" w:eastAsia="仿宋_GB2312"/>
                <w:b/>
                <w:bCs/>
                <w:szCs w:val="21"/>
                <w:highlight w:val="none"/>
              </w:rPr>
              <w:t>）</w:t>
            </w:r>
          </w:p>
        </w:tc>
        <w:tc>
          <w:tcPr>
            <w:tcW w:w="6956" w:type="dxa"/>
            <w:gridSpan w:val="7"/>
            <w:vAlign w:val="center"/>
          </w:tcPr>
          <w:p>
            <w:pPr>
              <w:keepNext w:val="0"/>
              <w:keepLines w:val="0"/>
              <w:pageBreakBefore w:val="0"/>
              <w:widowControl w:val="0"/>
              <w:kinsoku/>
              <w:wordWrap/>
              <w:overflowPunct/>
              <w:topLinePunct w:val="0"/>
              <w:bidi w:val="0"/>
              <w:adjustRightInd w:val="0"/>
              <w:snapToGrid w:val="0"/>
              <w:spacing w:line="560" w:lineRule="exact"/>
              <w:ind w:left="1" w:leftChars="-89" w:hanging="188" w:hangingChars="89"/>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规划指标要求</w:t>
            </w:r>
          </w:p>
        </w:tc>
        <w:tc>
          <w:tcPr>
            <w:tcW w:w="670" w:type="dxa"/>
            <w:vMerge w:val="restart"/>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highlight w:val="none"/>
              </w:rPr>
            </w:pPr>
            <w:r>
              <w:rPr>
                <w:rFonts w:hint="eastAsia" w:ascii="仿宋_GB2312" w:eastAsia="仿宋_GB2312"/>
                <w:b/>
                <w:bCs/>
                <w:highlight w:val="none"/>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highlight w:val="none"/>
              </w:rPr>
            </w:pPr>
          </w:p>
        </w:tc>
        <w:tc>
          <w:tcPr>
            <w:tcW w:w="690"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highlight w:val="none"/>
              </w:rPr>
            </w:pPr>
          </w:p>
        </w:tc>
        <w:tc>
          <w:tcPr>
            <w:tcW w:w="615"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highlight w:val="none"/>
              </w:rPr>
            </w:pPr>
          </w:p>
        </w:tc>
        <w:tc>
          <w:tcPr>
            <w:tcW w:w="570"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highlight w:val="none"/>
              </w:rPr>
            </w:pPr>
          </w:p>
        </w:tc>
        <w:tc>
          <w:tcPr>
            <w:tcW w:w="774" w:type="dxa"/>
            <w:vMerge w:val="continue"/>
            <w:vAlign w:val="center"/>
          </w:tcPr>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_GB2312" w:eastAsia="仿宋_GB2312"/>
                <w:b/>
                <w:bCs/>
                <w:highlight w:val="none"/>
              </w:rPr>
            </w:pPr>
          </w:p>
        </w:tc>
        <w:tc>
          <w:tcPr>
            <w:tcW w:w="948" w:type="dxa"/>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计算指标用地面积（</w:t>
            </w:r>
            <w:r>
              <w:rPr>
                <w:rFonts w:hint="eastAsia" w:ascii="宋体" w:hAnsi="宋体" w:cs="宋体"/>
                <w:b/>
                <w:bCs/>
                <w:szCs w:val="21"/>
                <w:highlight w:val="none"/>
              </w:rPr>
              <w:t>㎡</w:t>
            </w:r>
            <w:r>
              <w:rPr>
                <w:rFonts w:hint="eastAsia" w:ascii="仿宋_GB2312" w:eastAsia="仿宋_GB2312"/>
                <w:b/>
                <w:bCs/>
                <w:szCs w:val="21"/>
                <w:highlight w:val="none"/>
              </w:rPr>
              <w:t>）</w:t>
            </w:r>
          </w:p>
        </w:tc>
        <w:tc>
          <w:tcPr>
            <w:tcW w:w="720"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eastAsia="仿宋_GB2312"/>
                <w:b/>
                <w:szCs w:val="21"/>
                <w:highlight w:val="none"/>
              </w:rPr>
            </w:pPr>
            <w:r>
              <w:rPr>
                <w:rFonts w:hint="eastAsia" w:eastAsia="仿宋_GB2312"/>
                <w:b/>
                <w:szCs w:val="21"/>
                <w:highlight w:val="none"/>
              </w:rPr>
              <w:t>建筑密度</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szCs w:val="21"/>
                <w:highlight w:val="none"/>
              </w:rPr>
            </w:pPr>
            <w:r>
              <w:rPr>
                <w:rFonts w:hint="eastAsia" w:ascii="宋体" w:hAnsi="宋体" w:cs="宋体"/>
                <w:b/>
                <w:szCs w:val="21"/>
                <w:highlight w:val="none"/>
              </w:rPr>
              <w:t>（％）</w:t>
            </w:r>
          </w:p>
        </w:tc>
        <w:tc>
          <w:tcPr>
            <w:tcW w:w="672"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容积率</w:t>
            </w:r>
          </w:p>
        </w:tc>
        <w:tc>
          <w:tcPr>
            <w:tcW w:w="1650" w:type="dxa"/>
            <w:vAlign w:val="center"/>
          </w:tcPr>
          <w:p>
            <w:pPr>
              <w:keepNext w:val="0"/>
              <w:keepLines w:val="0"/>
              <w:pageBreakBefore w:val="0"/>
              <w:widowControl w:val="0"/>
              <w:kinsoku/>
              <w:wordWrap/>
              <w:overflowPunct/>
              <w:topLinePunct w:val="0"/>
              <w:bidi w:val="0"/>
              <w:spacing w:line="560" w:lineRule="exact"/>
              <w:ind w:left="44" w:right="-53" w:rightChars="-25" w:hanging="44" w:hangingChars="21"/>
              <w:jc w:val="center"/>
              <w:textAlignment w:val="auto"/>
              <w:rPr>
                <w:rFonts w:hint="eastAsia" w:ascii="仿宋_GB2312" w:eastAsia="仿宋_GB2312"/>
                <w:b/>
                <w:bCs/>
                <w:szCs w:val="21"/>
                <w:highlight w:val="none"/>
              </w:rPr>
            </w:pPr>
            <w:r>
              <w:rPr>
                <w:rFonts w:hint="eastAsia" w:ascii="仿宋_GB2312" w:eastAsia="仿宋_GB2312"/>
                <w:b/>
                <w:bCs/>
                <w:szCs w:val="21"/>
                <w:highlight w:val="none"/>
              </w:rPr>
              <w:t>计容积率建筑面积（</w:t>
            </w:r>
            <w:r>
              <w:rPr>
                <w:rFonts w:hint="eastAsia" w:ascii="宋体" w:hAnsi="宋体" w:cs="宋体"/>
                <w:b/>
                <w:bCs/>
                <w:szCs w:val="21"/>
                <w:highlight w:val="none"/>
              </w:rPr>
              <w:t>㎡</w:t>
            </w:r>
            <w:r>
              <w:rPr>
                <w:rFonts w:hint="eastAsia" w:ascii="仿宋_GB2312" w:eastAsia="仿宋_GB2312"/>
                <w:b/>
                <w:bCs/>
                <w:szCs w:val="21"/>
                <w:highlight w:val="none"/>
              </w:rPr>
              <w:t>）</w:t>
            </w:r>
          </w:p>
        </w:tc>
        <w:tc>
          <w:tcPr>
            <w:tcW w:w="1087"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highlight w:val="none"/>
              </w:rPr>
            </w:pPr>
            <w:r>
              <w:rPr>
                <w:rFonts w:hint="eastAsia" w:eastAsia="仿宋_GB2312"/>
                <w:b/>
                <w:szCs w:val="21"/>
                <w:highlight w:val="none"/>
              </w:rPr>
              <w:t>机动车停车位配建标准</w:t>
            </w:r>
          </w:p>
        </w:tc>
        <w:tc>
          <w:tcPr>
            <w:tcW w:w="900"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eastAsia="仿宋_GB2312"/>
                <w:b/>
                <w:szCs w:val="21"/>
                <w:highlight w:val="none"/>
              </w:rPr>
            </w:pPr>
            <w:r>
              <w:rPr>
                <w:rFonts w:hint="eastAsia" w:eastAsia="仿宋_GB2312"/>
                <w:b/>
                <w:szCs w:val="21"/>
                <w:highlight w:val="none"/>
              </w:rPr>
              <w:t>绿地率</w:t>
            </w:r>
          </w:p>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eastAsia="仿宋_GB2312"/>
                <w:b/>
                <w:szCs w:val="21"/>
                <w:highlight w:val="none"/>
              </w:rPr>
            </w:pPr>
            <w:r>
              <w:rPr>
                <w:rFonts w:hint="eastAsia" w:ascii="宋体" w:hAnsi="宋体" w:cs="宋体"/>
                <w:b/>
                <w:szCs w:val="21"/>
                <w:highlight w:val="none"/>
              </w:rPr>
              <w:t>（％）</w:t>
            </w:r>
          </w:p>
        </w:tc>
        <w:tc>
          <w:tcPr>
            <w:tcW w:w="979" w:type="dxa"/>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highlight w:val="none"/>
                <w:lang w:eastAsia="zh-CN"/>
              </w:rPr>
            </w:pPr>
            <w:r>
              <w:rPr>
                <w:rFonts w:hint="default" w:ascii="Times New Roman" w:hAnsi="Times New Roman" w:eastAsia="仿宋_GB2312" w:cs="Times New Roman"/>
                <w:b/>
                <w:bCs/>
                <w:szCs w:val="21"/>
              </w:rPr>
              <w:t>适建性</w:t>
            </w:r>
          </w:p>
        </w:tc>
        <w:tc>
          <w:tcPr>
            <w:tcW w:w="670"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_GB2312" w:eastAsia="仿宋_GB2312"/>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keepNext w:val="0"/>
              <w:keepLines w:val="0"/>
              <w:pageBreakBefore w:val="0"/>
              <w:widowControl w:val="0"/>
              <w:kinsoku/>
              <w:wordWrap/>
              <w:overflowPunct/>
              <w:topLinePunct w:val="0"/>
              <w:bidi w:val="0"/>
              <w:spacing w:line="560" w:lineRule="exact"/>
              <w:jc w:val="center"/>
              <w:textAlignment w:val="auto"/>
              <w:rPr>
                <w:rFonts w:hint="default"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GP2021-29</w:t>
            </w:r>
            <w:bookmarkStart w:id="0" w:name="_GoBack"/>
            <w:bookmarkEnd w:id="0"/>
          </w:p>
        </w:tc>
        <w:tc>
          <w:tcPr>
            <w:tcW w:w="690" w:type="dxa"/>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eastAsia="zh-CN"/>
              </w:rPr>
            </w:pPr>
            <w:r>
              <w:rPr>
                <w:rFonts w:hint="eastAsia" w:ascii="仿宋_GB2312" w:hAnsi="Times New Roman" w:eastAsia="仿宋_GB2312" w:cs="Times New Roman"/>
                <w:szCs w:val="21"/>
                <w:highlight w:val="none"/>
                <w:lang w:val="en-US" w:eastAsia="zh-CN"/>
              </w:rPr>
              <w:t>惠州市惠城区江北火车站地区JBX14-03地块</w:t>
            </w:r>
          </w:p>
        </w:tc>
        <w:tc>
          <w:tcPr>
            <w:tcW w:w="615" w:type="dxa"/>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JBX14-03</w:t>
            </w:r>
          </w:p>
        </w:tc>
        <w:tc>
          <w:tcPr>
            <w:tcW w:w="570" w:type="dxa"/>
            <w:tcMar>
              <w:left w:w="0" w:type="dxa"/>
              <w:right w:w="0" w:type="dxa"/>
            </w:tcMar>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二类城镇住宅、商服用地</w:t>
            </w:r>
          </w:p>
        </w:tc>
        <w:tc>
          <w:tcPr>
            <w:tcW w:w="774" w:type="dxa"/>
            <w:vAlign w:val="center"/>
          </w:tcPr>
          <w:p>
            <w:pPr>
              <w:keepNext w:val="0"/>
              <w:keepLines w:val="0"/>
              <w:pageBreakBefore w:val="0"/>
              <w:widowControl w:val="0"/>
              <w:kinsoku/>
              <w:wordWrap/>
              <w:overflowPunct/>
              <w:topLinePunct w:val="0"/>
              <w:bidi w:val="0"/>
              <w:spacing w:line="560" w:lineRule="exact"/>
              <w:jc w:val="center"/>
              <w:textAlignment w:val="auto"/>
              <w:rPr>
                <w:rFonts w:hint="default" w:ascii="仿宋_GB2312" w:hAnsi="Times New Roman" w:eastAsia="仿宋_GB2312" w:cs="Times New Roman"/>
                <w:szCs w:val="21"/>
                <w:highlight w:val="none"/>
                <w:lang w:val="en-US" w:eastAsia="zh-CN"/>
              </w:rPr>
            </w:pPr>
            <w:r>
              <w:rPr>
                <w:rFonts w:hint="default" w:ascii="仿宋_GB2312" w:hAnsi="Times New Roman" w:eastAsia="仿宋_GB2312" w:cs="Times New Roman"/>
                <w:szCs w:val="21"/>
                <w:highlight w:val="none"/>
                <w:lang w:val="en-US" w:eastAsia="zh-CN"/>
              </w:rPr>
              <w:t>21366.61</w:t>
            </w:r>
          </w:p>
        </w:tc>
        <w:tc>
          <w:tcPr>
            <w:tcW w:w="948" w:type="dxa"/>
            <w:vAlign w:val="center"/>
          </w:tcPr>
          <w:p>
            <w:pPr>
              <w:keepNext w:val="0"/>
              <w:keepLines w:val="0"/>
              <w:pageBreakBefore w:val="0"/>
              <w:widowControl w:val="0"/>
              <w:kinsoku/>
              <w:wordWrap/>
              <w:overflowPunct/>
              <w:topLinePunct w:val="0"/>
              <w:bidi w:val="0"/>
              <w:spacing w:line="560" w:lineRule="exact"/>
              <w:jc w:val="center"/>
              <w:textAlignment w:val="auto"/>
              <w:rPr>
                <w:rFonts w:hint="default" w:ascii="仿宋_GB2312" w:hAnsi="Times New Roman" w:eastAsia="仿宋_GB2312" w:cs="Times New Roman"/>
                <w:szCs w:val="21"/>
                <w:highlight w:val="none"/>
                <w:lang w:val="en-US" w:eastAsia="zh-CN"/>
              </w:rPr>
            </w:pPr>
            <w:r>
              <w:rPr>
                <w:rFonts w:hint="default" w:ascii="仿宋_GB2312" w:hAnsi="Times New Roman" w:eastAsia="仿宋_GB2312" w:cs="Times New Roman"/>
                <w:szCs w:val="21"/>
                <w:highlight w:val="none"/>
                <w:lang w:val="en-US" w:eastAsia="zh-CN"/>
              </w:rPr>
              <w:t>28281.48</w:t>
            </w:r>
          </w:p>
        </w:tc>
        <w:tc>
          <w:tcPr>
            <w:tcW w:w="720" w:type="dxa"/>
            <w:vAlign w:val="center"/>
          </w:tcPr>
          <w:p>
            <w:pPr>
              <w:keepNext w:val="0"/>
              <w:keepLines w:val="0"/>
              <w:pageBreakBefore w:val="0"/>
              <w:widowControl w:val="0"/>
              <w:kinsoku/>
              <w:wordWrap/>
              <w:overflowPunct/>
              <w:topLinePunct w:val="0"/>
              <w:bidi w:val="0"/>
              <w:spacing w:line="560" w:lineRule="exact"/>
              <w:jc w:val="center"/>
              <w:textAlignment w:val="auto"/>
              <w:rPr>
                <w:rFonts w:hint="default" w:ascii="仿宋_GB2312" w:hAnsi="Times New Roman" w:eastAsia="仿宋_GB2312" w:cs="Times New Roman"/>
                <w:szCs w:val="21"/>
                <w:highlight w:val="none"/>
                <w:lang w:val="en-US" w:eastAsia="zh-CN"/>
              </w:rPr>
            </w:pPr>
            <w:r>
              <w:rPr>
                <w:rFonts w:hint="default" w:ascii="仿宋_GB2312" w:hAnsi="Times New Roman" w:eastAsia="仿宋_GB2312" w:cs="Times New Roman"/>
                <w:szCs w:val="21"/>
                <w:highlight w:val="none"/>
                <w:lang w:val="en-US" w:eastAsia="zh-CN"/>
              </w:rPr>
              <w:t>≤22</w:t>
            </w:r>
          </w:p>
        </w:tc>
        <w:tc>
          <w:tcPr>
            <w:tcW w:w="672" w:type="dxa"/>
            <w:vAlign w:val="center"/>
          </w:tcPr>
          <w:p>
            <w:pPr>
              <w:keepNext w:val="0"/>
              <w:keepLines w:val="0"/>
              <w:pageBreakBefore w:val="0"/>
              <w:widowControl w:val="0"/>
              <w:kinsoku/>
              <w:wordWrap/>
              <w:overflowPunct/>
              <w:topLinePunct w:val="0"/>
              <w:bidi w:val="0"/>
              <w:spacing w:line="560" w:lineRule="exact"/>
              <w:jc w:val="center"/>
              <w:textAlignment w:val="auto"/>
              <w:rPr>
                <w:rFonts w:hint="default" w:ascii="仿宋_GB2312" w:hAnsi="Times New Roman" w:eastAsia="仿宋_GB2312" w:cs="Times New Roman"/>
                <w:szCs w:val="21"/>
                <w:highlight w:val="none"/>
                <w:lang w:val="en-US" w:eastAsia="zh-CN"/>
              </w:rPr>
            </w:pPr>
            <w:r>
              <w:rPr>
                <w:rFonts w:hint="default" w:ascii="仿宋_GB2312" w:hAnsi="Times New Roman" w:eastAsia="仿宋_GB2312" w:cs="Times New Roman"/>
                <w:szCs w:val="21"/>
                <w:highlight w:val="none"/>
                <w:lang w:val="en-US" w:eastAsia="zh-CN"/>
              </w:rPr>
              <w:t>≤3.0</w:t>
            </w:r>
          </w:p>
        </w:tc>
        <w:tc>
          <w:tcPr>
            <w:tcW w:w="1650" w:type="dxa"/>
            <w:vAlign w:val="center"/>
          </w:tcPr>
          <w:p>
            <w:pPr>
              <w:keepNext w:val="0"/>
              <w:keepLines w:val="0"/>
              <w:pageBreakBefore w:val="0"/>
              <w:widowControl w:val="0"/>
              <w:kinsoku/>
              <w:wordWrap/>
              <w:overflowPunct/>
              <w:topLinePunct w:val="0"/>
              <w:bidi w:val="0"/>
              <w:spacing w:line="560" w:lineRule="exact"/>
              <w:jc w:val="center"/>
              <w:textAlignment w:val="auto"/>
              <w:rPr>
                <w:rFonts w:hint="default" w:ascii="仿宋_GB2312" w:hAnsi="Times New Roman" w:eastAsia="仿宋_GB2312" w:cs="Times New Roman"/>
                <w:szCs w:val="21"/>
                <w:highlight w:val="none"/>
                <w:lang w:val="en-US" w:eastAsia="zh-CN"/>
              </w:rPr>
            </w:pPr>
            <w:r>
              <w:rPr>
                <w:rFonts w:hint="default" w:ascii="仿宋_GB2312" w:hAnsi="Times New Roman" w:eastAsia="仿宋_GB2312" w:cs="Times New Roman"/>
                <w:szCs w:val="21"/>
                <w:highlight w:val="none"/>
                <w:lang w:val="en-US" w:eastAsia="zh-CN"/>
              </w:rPr>
              <w:t>≤84846</w:t>
            </w:r>
          </w:p>
        </w:tc>
        <w:tc>
          <w:tcPr>
            <w:tcW w:w="1087" w:type="dxa"/>
            <w:vAlign w:val="center"/>
          </w:tcPr>
          <w:p>
            <w:pPr>
              <w:keepNext w:val="0"/>
              <w:keepLines w:val="0"/>
              <w:pageBreakBefore w:val="0"/>
              <w:widowControl w:val="0"/>
              <w:kinsoku/>
              <w:wordWrap/>
              <w:overflowPunct/>
              <w:topLinePunct w:val="0"/>
              <w:bidi w:val="0"/>
              <w:spacing w:line="560" w:lineRule="exact"/>
              <w:jc w:val="center"/>
              <w:textAlignment w:val="auto"/>
              <w:rPr>
                <w:rFonts w:hint="default" w:ascii="仿宋_GB2312" w:hAnsi="Times New Roman" w:eastAsia="仿宋_GB2312" w:cs="Times New Roman"/>
                <w:szCs w:val="21"/>
                <w:highlight w:val="none"/>
                <w:lang w:val="en-US" w:eastAsia="zh-CN"/>
              </w:rPr>
            </w:pPr>
            <w:r>
              <w:rPr>
                <w:rFonts w:hint="default" w:ascii="仿宋_GB2312" w:hAnsi="Times New Roman" w:eastAsia="仿宋_GB2312" w:cs="Times New Roman"/>
                <w:szCs w:val="21"/>
                <w:highlight w:val="none"/>
                <w:lang w:val="en-US" w:eastAsia="zh-CN"/>
              </w:rPr>
              <w:t>每100㎡计容积率面积≥1个</w:t>
            </w:r>
          </w:p>
        </w:tc>
        <w:tc>
          <w:tcPr>
            <w:tcW w:w="900" w:type="dxa"/>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eastAsia="zh-CN"/>
              </w:rPr>
            </w:pPr>
            <w:r>
              <w:rPr>
                <w:rFonts w:hint="eastAsia" w:ascii="仿宋_GB2312" w:hAnsi="Times New Roman" w:eastAsia="仿宋_GB2312" w:cs="Times New Roman"/>
                <w:szCs w:val="21"/>
                <w:highlight w:val="none"/>
                <w:lang w:eastAsia="zh-CN"/>
              </w:rPr>
              <w:t>≥35</w:t>
            </w:r>
          </w:p>
        </w:tc>
        <w:tc>
          <w:tcPr>
            <w:tcW w:w="979" w:type="dxa"/>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eastAsia="zh-CN"/>
              </w:rPr>
            </w:pPr>
            <w:r>
              <w:rPr>
                <w:rFonts w:hint="default" w:ascii="Times New Roman" w:hAnsi="Times New Roman" w:eastAsia="仿宋_GB2312" w:cs="Times New Roman"/>
                <w:color w:val="000000"/>
                <w:szCs w:val="21"/>
              </w:rPr>
              <w:t>住宅</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rPr>
              <w:t>商业及配套设施</w:t>
            </w:r>
          </w:p>
        </w:tc>
        <w:tc>
          <w:tcPr>
            <w:tcW w:w="670" w:type="dxa"/>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eastAsia="zh-CN"/>
              </w:rPr>
            </w:pPr>
            <w:r>
              <w:rPr>
                <w:rFonts w:hint="default" w:ascii="Times New Roman" w:hAnsi="Times New Roman" w:eastAsia="仿宋_GB2312" w:cs="Times New Roman"/>
                <w:color w:val="000000"/>
                <w:szCs w:val="21"/>
              </w:rPr>
              <w:t>住宅70年</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rPr>
              <w:t>商服40年</w:t>
            </w:r>
          </w:p>
        </w:tc>
      </w:tr>
    </w:tbl>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47C6F5A"/>
    <w:rsid w:val="069C76D6"/>
    <w:rsid w:val="07386886"/>
    <w:rsid w:val="07895069"/>
    <w:rsid w:val="082B1937"/>
    <w:rsid w:val="09B41FDD"/>
    <w:rsid w:val="0D167AC3"/>
    <w:rsid w:val="0D430223"/>
    <w:rsid w:val="0DF23899"/>
    <w:rsid w:val="0E7A65F6"/>
    <w:rsid w:val="101D3BC2"/>
    <w:rsid w:val="10BD4DFA"/>
    <w:rsid w:val="137618AF"/>
    <w:rsid w:val="13D50F1B"/>
    <w:rsid w:val="161D2710"/>
    <w:rsid w:val="167673A1"/>
    <w:rsid w:val="16AA6FD1"/>
    <w:rsid w:val="16D56AAC"/>
    <w:rsid w:val="17AA0480"/>
    <w:rsid w:val="17D36568"/>
    <w:rsid w:val="188D227F"/>
    <w:rsid w:val="192F711A"/>
    <w:rsid w:val="1A0B2C56"/>
    <w:rsid w:val="1AA5305E"/>
    <w:rsid w:val="1ADB0E54"/>
    <w:rsid w:val="1C5904D7"/>
    <w:rsid w:val="1D7069CD"/>
    <w:rsid w:val="1DE30B94"/>
    <w:rsid w:val="1E862B6D"/>
    <w:rsid w:val="1F7C2358"/>
    <w:rsid w:val="1FB07F91"/>
    <w:rsid w:val="20ED2229"/>
    <w:rsid w:val="22890C8D"/>
    <w:rsid w:val="23A027B1"/>
    <w:rsid w:val="25251515"/>
    <w:rsid w:val="27A65DB8"/>
    <w:rsid w:val="28774868"/>
    <w:rsid w:val="2A6B42FA"/>
    <w:rsid w:val="2A870225"/>
    <w:rsid w:val="2B5D4967"/>
    <w:rsid w:val="2F020615"/>
    <w:rsid w:val="304C7078"/>
    <w:rsid w:val="31CE6D72"/>
    <w:rsid w:val="33861F14"/>
    <w:rsid w:val="33DD4339"/>
    <w:rsid w:val="35335FA2"/>
    <w:rsid w:val="36061489"/>
    <w:rsid w:val="36885460"/>
    <w:rsid w:val="372361B7"/>
    <w:rsid w:val="37607760"/>
    <w:rsid w:val="380440B7"/>
    <w:rsid w:val="381E07C6"/>
    <w:rsid w:val="38387384"/>
    <w:rsid w:val="38BD14D1"/>
    <w:rsid w:val="3C13026D"/>
    <w:rsid w:val="3C8078D7"/>
    <w:rsid w:val="3DDC60B5"/>
    <w:rsid w:val="40231E47"/>
    <w:rsid w:val="40363F40"/>
    <w:rsid w:val="409256E4"/>
    <w:rsid w:val="40B33D72"/>
    <w:rsid w:val="411B39E1"/>
    <w:rsid w:val="42CE6157"/>
    <w:rsid w:val="43706132"/>
    <w:rsid w:val="44966F93"/>
    <w:rsid w:val="45C047BF"/>
    <w:rsid w:val="4A1228DB"/>
    <w:rsid w:val="4A1B1ECC"/>
    <w:rsid w:val="4AE74DD0"/>
    <w:rsid w:val="4C2E14D5"/>
    <w:rsid w:val="4EC91786"/>
    <w:rsid w:val="4F861E18"/>
    <w:rsid w:val="512A0AC6"/>
    <w:rsid w:val="538C505C"/>
    <w:rsid w:val="540106D5"/>
    <w:rsid w:val="546946EF"/>
    <w:rsid w:val="565101CA"/>
    <w:rsid w:val="567F481B"/>
    <w:rsid w:val="578E459E"/>
    <w:rsid w:val="57A3234F"/>
    <w:rsid w:val="57C844D5"/>
    <w:rsid w:val="594D206E"/>
    <w:rsid w:val="596A13D8"/>
    <w:rsid w:val="5A893EB0"/>
    <w:rsid w:val="5AF873B7"/>
    <w:rsid w:val="5D241B5A"/>
    <w:rsid w:val="5D471E01"/>
    <w:rsid w:val="5E3B0440"/>
    <w:rsid w:val="606821F3"/>
    <w:rsid w:val="63AA2C72"/>
    <w:rsid w:val="64D925C4"/>
    <w:rsid w:val="64E467ED"/>
    <w:rsid w:val="68527CA2"/>
    <w:rsid w:val="692A6240"/>
    <w:rsid w:val="6EB83079"/>
    <w:rsid w:val="6F4B3B48"/>
    <w:rsid w:val="6FF0551C"/>
    <w:rsid w:val="700A52E4"/>
    <w:rsid w:val="727D44B4"/>
    <w:rsid w:val="728D40FC"/>
    <w:rsid w:val="736D1677"/>
    <w:rsid w:val="73BE7EBD"/>
    <w:rsid w:val="73F22758"/>
    <w:rsid w:val="748840AA"/>
    <w:rsid w:val="761352C3"/>
    <w:rsid w:val="77DD303C"/>
    <w:rsid w:val="782A0826"/>
    <w:rsid w:val="79E82C45"/>
    <w:rsid w:val="7B832F79"/>
    <w:rsid w:val="7D06007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2021-09-13T14:15:00Z</cp:lastPrinted>
  <dcterms:modified xsi:type="dcterms:W3CDTF">2021-09-15T06:54:28Z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