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惠公易土市直[2021]024号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（一）挂牌地块编号：GP2021-</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（二）地块位置：惠州市惠城区汝湖镇大龙山</w:t>
      </w:r>
      <w:r>
        <w:rPr>
          <w:rFonts w:hint="eastAsia" w:ascii="仿宋_GB2312" w:hAnsi="仿宋_GB2312" w:eastAsia="仿宋_GB2312" w:cs="仿宋_GB2312"/>
          <w:sz w:val="32"/>
          <w:szCs w:val="32"/>
          <w:lang w:val="en-US" w:eastAsia="zh-CN"/>
        </w:rPr>
        <w:t>片区</w:t>
      </w:r>
      <w:r>
        <w:rPr>
          <w:rFonts w:hint="eastAsia" w:ascii="仿宋_GB2312" w:hAnsi="仿宋_GB2312" w:eastAsia="仿宋_GB2312" w:cs="仿宋_GB2312"/>
          <w:sz w:val="32"/>
          <w:szCs w:val="32"/>
        </w:rPr>
        <w:t>01-13地块;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rPr>
        <w:t>编号：01-13;</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（四）地块范围：平面界址点以建设用地红线图为准，宗地竖向界限以《建设用地规划设计条件（案卷编号：PB20200058）》（以下简称“《规划设计条件》”）规定为准；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（五）宗地使用权面积为：23378.45平方米；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（六）计算指标用地面积为：31088.14平方米；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（七）计容积率建筑面积为：≤15544平方米；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（八）容积率为：≤0.5；</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（九）建筑密度为：</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（十）绿地率为：≥20％；</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（十一）建筑规模：液化石油气储罐总量≤2800m³，其中最大单罐≤1000m³；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（十二）土地用途为：供燃气用地；</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（十三）土地使用权出让年期为：公用设施用地50年；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（十四）适建性：液化石油气储配站、钢瓶检验站及配套设施；</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 动工及竣工时间：该地块的动工时间为地块交付之日起半年内，竣工时间为动工之日起三年内（因不可抗拒因素除外）；</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（十六）竞得人在缴清地价款后一个月内办理交地手续，凭《交地确认书》、《出让合同》（正本）和地价款交款凭证等申请办理土地初始登记，领取《不动产权证书》。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（一）开发投资总额不少于8663万元（含地价,不含地价溢价部分）。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（三）竞得人在用地红线内开发建设必须符合城市规划要求，必须按《建设用地规划设计条件》（案卷编号：PB20200058）规划控制指标要求及有关规定进行规划设计。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（五）本项目液化石油气储罐应在《规划控制图》中划定的储罐区内布设，必须保证周边规划建设用地、道路等的使用安全。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）液化石油气储配站、钢瓶检验站及配套设施的规划与建设须符合《城镇燃气规划规范》 (GE/T51098-2015)、《城镇燃气设计规范》(GB50028-2006)、《液化石油气供应工程设计规范》(GB51142-2015)、《建筑设计防火规范》(GB50016-2014)以及其他现行的国家、省、市相关规范和技术标准的要求。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）为解决惠州市燃气有限公司江北储罐站搬迁，土地竞得人须在竞得土地使用权后无偿划出200m³液化石油气储罐量用于解决江北储罐站搬迁安置，搬迁费用由惠州市燃气有限公司承担</w:t>
      </w:r>
      <w:r>
        <w:rPr>
          <w:rFonts w:hint="eastAsia" w:ascii="宋体" w:hAnsi="宋体" w:eastAsia="宋体" w:cs="宋体"/>
          <w:sz w:val="25"/>
          <w:szCs w:val="25"/>
          <w:highlight w:val="none"/>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中华人民共和国境内外的法人和其他组织（除法律法规另有规定外），均可申请参加竞买。申请人可以单独申请，也可以联合申请。申请人还应具备下列条件：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800万元，如以外币缴交竞买保证金的，须缴交美元124万元、港币964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1、存在伪造公文骗取用地和非法倒卖土地等犯罪行为的；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2、存在非法转让土地使用权等违法行为的；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3、因企业原因造成土地闲置一年以上且至报名日止未处罚完结的；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5、至报名日止仍拖欠政府地价款的;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6、被列入问题楼盘开发企业黑名单的;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7、存在其它被禁止竞买土地行为的。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竞得人有下列行为之一的，视为违约，取消竞得人资格，定金不予退还,并由有关部门依法处理;造成损失的，竞得人还应依法承担赔偿责任：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kern w:val="2"/>
          <w:sz w:val="32"/>
          <w:szCs w:val="32"/>
          <w:u w:val="single"/>
          <w:lang w:val="en-US" w:eastAsia="zh-CN" w:bidi="ar-SA"/>
        </w:rPr>
        <w:t>肆仟万元整</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4000</w:t>
      </w:r>
      <w:r>
        <w:rPr>
          <w:rFonts w:hint="eastAsia" w:ascii="仿宋_GB2312" w:hAnsi="仿宋_GB2312" w:eastAsia="仿宋_GB2312" w:cs="仿宋_GB2312"/>
          <w:kern w:val="2"/>
          <w:sz w:val="32"/>
          <w:szCs w:val="32"/>
          <w:lang w:val="en-US" w:eastAsia="zh-CN" w:bidi="ar-SA"/>
        </w:rPr>
        <w:t>万元）,增价幅度为人民币</w:t>
      </w:r>
      <w:r>
        <w:rPr>
          <w:rFonts w:hint="eastAsia" w:ascii="仿宋_GB2312" w:hAnsi="仿宋_GB2312" w:eastAsia="仿宋_GB2312" w:cs="仿宋_GB2312"/>
          <w:kern w:val="2"/>
          <w:sz w:val="32"/>
          <w:szCs w:val="32"/>
          <w:u w:val="single"/>
          <w:lang w:val="en-US" w:eastAsia="zh-CN" w:bidi="ar-SA"/>
        </w:rPr>
        <w:t>伍拾万元</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50</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（一）网上挂牌起始时间：2021年9月2日9时。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（二）网上挂牌截止时间：2021年9月16日10时。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（三）网上挂牌交纳保证金截止时间：2021年9月16日9时。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1、惠州市国有建设用地使用权网上挂牌出让公告；</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2、惠州市国有建设用地使用权网上挂牌出让须知；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3、挂牌出让地块现状图；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4、红线图；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5、宗地规划指标要求；</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6、《惠州市国有建设用地使用权电子挂牌交易成交确认书》（以下简称“成交确认书”）样本；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7、《国有建设用地使用权出让合同》（以下简称“出让合同”）样本；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8、其他相关文件。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数字证书的办理流程详见网上挂牌交易系统上的《数字证书办理指南》。</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（二）本宗地竞买保证金到账截止时间为2021年 月  日9时整，竞买保证金为人民币</w:t>
      </w:r>
      <w:r>
        <w:rPr>
          <w:rFonts w:hint="eastAsia" w:ascii="仿宋_GB2312" w:hAnsi="仿宋_GB2312" w:eastAsia="仿宋_GB2312" w:cs="仿宋_GB2312"/>
          <w:kern w:val="2"/>
          <w:sz w:val="32"/>
          <w:szCs w:val="32"/>
          <w:u w:val="single"/>
          <w:lang w:val="en-US" w:eastAsia="zh-CN" w:bidi="ar-SA"/>
        </w:rPr>
        <w:t>捌佰万元整</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u w:val="single"/>
          <w:lang w:val="en-US" w:eastAsia="zh-CN" w:bidi="ar-SA"/>
        </w:rPr>
        <w:t>800</w:t>
      </w:r>
      <w:r>
        <w:rPr>
          <w:rFonts w:hint="eastAsia" w:ascii="仿宋_GB2312" w:hAnsi="仿宋_GB2312" w:eastAsia="仿宋_GB2312" w:cs="仿宋_GB2312"/>
          <w:kern w:val="2"/>
          <w:sz w:val="32"/>
          <w:szCs w:val="32"/>
          <w:lang w:val="en-US" w:eastAsia="zh-CN" w:bidi="ar-SA"/>
        </w:rPr>
        <w:t>万元）；如以外币缴交竞买保证金的，须缴交美元</w:t>
      </w:r>
      <w:r>
        <w:rPr>
          <w:rFonts w:hint="eastAsia" w:ascii="仿宋_GB2312" w:hAnsi="仿宋_GB2312" w:eastAsia="仿宋_GB2312" w:cs="仿宋_GB2312"/>
          <w:kern w:val="2"/>
          <w:sz w:val="32"/>
          <w:szCs w:val="32"/>
          <w:u w:val="single"/>
          <w:lang w:val="en-US" w:eastAsia="zh-CN" w:bidi="ar-SA"/>
        </w:rPr>
        <w:t>壹佰贰拾肆万元整</w:t>
      </w:r>
      <w:r>
        <w:rPr>
          <w:rFonts w:hint="eastAsia" w:ascii="仿宋_GB2312" w:hAnsi="仿宋_GB2312" w:eastAsia="仿宋_GB2312" w:cs="仿宋_GB2312"/>
          <w:kern w:val="2"/>
          <w:sz w:val="32"/>
          <w:szCs w:val="32"/>
          <w:lang w:val="en-US" w:eastAsia="zh-CN" w:bidi="ar-SA"/>
        </w:rPr>
        <w:t>(USD</w:t>
      </w:r>
      <w:r>
        <w:rPr>
          <w:rFonts w:hint="eastAsia" w:ascii="仿宋_GB2312" w:hAnsi="仿宋_GB2312" w:eastAsia="仿宋_GB2312" w:cs="仿宋_GB2312"/>
          <w:kern w:val="2"/>
          <w:sz w:val="32"/>
          <w:szCs w:val="32"/>
          <w:u w:val="single"/>
          <w:lang w:val="en-US" w:eastAsia="zh-CN" w:bidi="ar-SA"/>
        </w:rPr>
        <w:t>124</w:t>
      </w:r>
      <w:r>
        <w:rPr>
          <w:rFonts w:hint="eastAsia"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u w:val="single"/>
          <w:lang w:val="en-US" w:eastAsia="zh-CN" w:bidi="ar-SA"/>
        </w:rPr>
        <w:t>玖佰陆拾肆万元整</w:t>
      </w:r>
      <w:r>
        <w:rPr>
          <w:rFonts w:hint="eastAsia" w:ascii="仿宋_GB2312" w:hAnsi="仿宋_GB2312" w:eastAsia="仿宋_GB2312" w:cs="仿宋_GB2312"/>
          <w:kern w:val="2"/>
          <w:sz w:val="32"/>
          <w:szCs w:val="32"/>
          <w:lang w:val="en-US" w:eastAsia="zh-CN" w:bidi="ar-SA"/>
        </w:rPr>
        <w:t>(HKD</w:t>
      </w:r>
      <w:r>
        <w:rPr>
          <w:rFonts w:hint="eastAsia" w:ascii="仿宋_GB2312" w:hAnsi="仿宋_GB2312" w:eastAsia="仿宋_GB2312" w:cs="仿宋_GB2312"/>
          <w:kern w:val="2"/>
          <w:sz w:val="32"/>
          <w:szCs w:val="32"/>
          <w:u w:val="single"/>
          <w:lang w:val="en-US" w:eastAsia="zh-CN" w:bidi="ar-SA"/>
        </w:rPr>
        <w:t>964</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10、中国光大银行股份有限公司惠州分行。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11、中信银行股份有限公司惠州分行。(备注:中信银行股份有限公司惠州分行本行转账须到银行柜面办理)。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有意竞买者可登陆惠州市公共资源交易中心土地与矿业网上挂牌交易系统网站(https://www.hzgtjy.com/)查询。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1、网上挂牌交易结束后，竞得人应当自行下载打印《竞买申请书》、《竞价结果通知书》、《竞买保证金到账通知书》并盖章。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2、竞得人应当在网上挂牌交易结果公布之日起5个工作日内持公司公章及下列有关纸质材料到本中心进行资格审查并签订《成交确认书》：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（五）确定竞得人后，竞得人持《竞价结果通知书》以及参加本宗地网上挂牌交易的所须资料到惠州市公共资源交易中心土地矿业交易部申办相关成交确认手续。</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《竞价结果通知书》对挂牌人和竞得人具有法律效力，挂牌人改变网上挂牌结果的，或者竞得人放弃竞得宗地的，应当承担相应法律责任。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未竞得人缴纳的竞买保证金将于电子挂牌交易活动结束之日起5个工作日内带齐相关资料（《竞价结果通知书》、《保证金到账通知书》、保证金进账单等）到本中心退还保证金，不计利息。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《成交确认书》签订之日起5个工作日内竞得人须与出让人签订《出让合同》。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2021年8月12</w:t>
      </w:r>
      <w:bookmarkStart w:id="0" w:name="_GoBack"/>
      <w:bookmarkEnd w:id="0"/>
      <w:r>
        <w:rPr>
          <w:rFonts w:hint="eastAsia" w:ascii="仿宋_GB2312" w:hAnsi="仿宋_GB2312" w:eastAsia="仿宋_GB2312" w:cs="仿宋_GB2312"/>
          <w:kern w:val="2"/>
          <w:sz w:val="32"/>
          <w:szCs w:val="32"/>
          <w:lang w:val="en-US" w:eastAsia="zh-CN" w:bidi="ar-SA"/>
        </w:rPr>
        <w:t>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398491D"/>
    <w:rsid w:val="07175A66"/>
    <w:rsid w:val="08E86ED8"/>
    <w:rsid w:val="15937805"/>
    <w:rsid w:val="1F973EF0"/>
    <w:rsid w:val="33B40EC2"/>
    <w:rsid w:val="3E910382"/>
    <w:rsid w:val="45622B90"/>
    <w:rsid w:val="45B02BB7"/>
    <w:rsid w:val="49DD3017"/>
    <w:rsid w:val="4FDF4DC1"/>
    <w:rsid w:val="69FE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51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杨惠丹</cp:lastModifiedBy>
  <cp:lastPrinted>2021-08-12T01:31:00Z</cp:lastPrinted>
  <dcterms:modified xsi:type="dcterms:W3CDTF">2021-08-12T03:24:41Z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