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）地块位置：惠州市惠城区</w:t>
      </w:r>
      <w:r>
        <w:rPr>
          <w:rFonts w:hint="eastAsia" w:ascii="仿宋_GB2312" w:hAnsi="仿宋_GB2312" w:eastAsia="仿宋_GB2312" w:cs="仿宋_GB2312"/>
          <w:sz w:val="32"/>
          <w:szCs w:val="32"/>
          <w:lang w:eastAsia="zh-CN"/>
        </w:rPr>
        <w:t>河南岸</w:t>
      </w:r>
      <w:r>
        <w:rPr>
          <w:rFonts w:hint="eastAsia" w:ascii="仿宋_GB2312" w:hAnsi="仿宋_GB2312" w:eastAsia="仿宋_GB2312" w:cs="仿宋_GB2312"/>
          <w:sz w:val="32"/>
          <w:szCs w:val="32"/>
          <w:lang w:val="en-US" w:eastAsia="zh-CN"/>
        </w:rPr>
        <w:t>HNA52-01-01地块;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（三）规划编号：HNA52-01-01;</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val="en-US" w:eastAsia="zh-CN"/>
        </w:rPr>
        <w:t>建设用地红线图（案宗编号：YD20210002）</w:t>
      </w:r>
      <w:r>
        <w:rPr>
          <w:rFonts w:hint="eastAsia" w:ascii="仿宋_GB2312" w:hAnsi="仿宋_GB2312" w:eastAsia="仿宋_GB2312" w:cs="仿宋_GB2312"/>
          <w:sz w:val="32"/>
          <w:szCs w:val="32"/>
        </w:rPr>
        <w:t>为准，宗地竖向界限以《</w:t>
      </w:r>
      <w:r>
        <w:rPr>
          <w:rFonts w:hint="eastAsia" w:ascii="仿宋_GB2312" w:hAnsi="仿宋_GB2312" w:eastAsia="仿宋_GB2312" w:cs="仿宋_GB2312"/>
          <w:sz w:val="32"/>
          <w:szCs w:val="32"/>
          <w:lang w:val="en-US" w:eastAsia="zh-CN"/>
        </w:rPr>
        <w:t>建设用地规划设计</w:t>
      </w:r>
      <w:r>
        <w:rPr>
          <w:rFonts w:hint="eastAsia" w:ascii="仿宋_GB2312" w:hAnsi="仿宋_GB2312" w:eastAsia="仿宋_GB2312" w:cs="仿宋_GB2312"/>
          <w:sz w:val="32"/>
          <w:szCs w:val="32"/>
        </w:rPr>
        <w:t>条件(案卷编号: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00160</w:t>
      </w:r>
      <w:r>
        <w:rPr>
          <w:rFonts w:hint="eastAsia" w:ascii="仿宋_GB2312" w:hAnsi="仿宋_GB2312" w:eastAsia="仿宋_GB2312" w:cs="仿宋_GB2312"/>
          <w:sz w:val="32"/>
          <w:szCs w:val="32"/>
        </w:rPr>
        <w:t>号)》规定为准；</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宗地使用权面积为：1144.84平方米；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（六）计算指标用地面积为：3370.87平方米；</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（七）地下室宗地使用权面积：2819.86平方米；</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八）建筑密度：≤34％；</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九）建筑限高：≤18米；</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地上+地下机械式立体停车楼≥400</w:t>
      </w:r>
      <w:r>
        <w:rPr>
          <w:rFonts w:hint="eastAsia" w:ascii="仿宋_GB2312" w:hAnsi="仿宋_GB2312" w:eastAsia="仿宋_GB2312" w:cs="仿宋_GB2312"/>
          <w:sz w:val="32"/>
          <w:szCs w:val="32"/>
          <w:lang w:eastAsia="zh-CN"/>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eastAsia="zh-CN"/>
        </w:rPr>
        <w:t>广场用地兼容社会停车场</w:t>
      </w:r>
      <w:r>
        <w:rPr>
          <w:rFonts w:hint="eastAsia" w:ascii="仿宋_GB2312" w:hAnsi="仿宋_GB2312" w:eastAsia="仿宋_GB2312" w:cs="仿宋_GB2312"/>
          <w:sz w:val="32"/>
          <w:szCs w:val="32"/>
        </w:rPr>
        <w:t>用地；</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交通服务场站用地50年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val="en-US" w:eastAsia="zh-CN"/>
        </w:rPr>
        <w:t>广场及停车楼</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w:t>
      </w:r>
      <w:r>
        <w:rPr>
          <w:rFonts w:hint="eastAsia" w:ascii="仿宋_GB2312" w:hAnsi="仿宋_GB2312" w:eastAsia="仿宋_GB2312" w:cs="仿宋_GB2312"/>
          <w:sz w:val="32"/>
          <w:szCs w:val="32"/>
          <w:lang w:val="en-US" w:eastAsia="zh-CN"/>
        </w:rPr>
        <w:t>5700</w:t>
      </w:r>
      <w:r>
        <w:rPr>
          <w:rFonts w:hint="eastAsia" w:ascii="仿宋_GB2312" w:hAnsi="仿宋_GB2312" w:eastAsia="仿宋_GB2312" w:cs="仿宋_GB2312"/>
          <w:sz w:val="32"/>
          <w:szCs w:val="32"/>
          <w:lang w:eastAsia="zh-CN"/>
        </w:rPr>
        <w:t>万元（含地价,不含地价溢价部分）。</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（三）该地权利清晰，安置补偿落实到位，没有法律经济纠纷，具备动工开发所必须的基本条件。</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（四）地面广场由取得</w:t>
      </w:r>
      <w:r>
        <w:rPr>
          <w:rFonts w:hint="eastAsia" w:ascii="仿宋_GB2312" w:hAnsi="仿宋_GB2312" w:eastAsia="仿宋_GB2312" w:cs="仿宋_GB2312"/>
          <w:sz w:val="32"/>
          <w:szCs w:val="32"/>
          <w:lang w:val="en-US" w:eastAsia="zh-CN"/>
        </w:rPr>
        <w:t>HNA52-01-01用地的</w:t>
      </w:r>
      <w:r>
        <w:rPr>
          <w:rFonts w:hint="eastAsia" w:ascii="仿宋_GB2312" w:hAnsi="仿宋_GB2312" w:eastAsia="仿宋_GB2312" w:cs="仿宋_GB2312"/>
          <w:sz w:val="32"/>
          <w:szCs w:val="32"/>
          <w:lang w:eastAsia="zh-CN"/>
        </w:rPr>
        <w:t>土地使用权者按照政府部门相关要求，与停车库同步规划、同步建设、同步验收交付使用，并无偿移交给政府相关部门。</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）竞得人在用地红线内开发建设必须符合城市规划要求，必须按《建设用地规划设计条件》（案卷编号：</w:t>
      </w:r>
      <w:r>
        <w:rPr>
          <w:rFonts w:hint="eastAsia" w:ascii="仿宋_GB2312" w:hAnsi="仿宋_GB2312" w:eastAsia="仿宋_GB2312" w:cs="仿宋_GB2312"/>
          <w:sz w:val="32"/>
          <w:szCs w:val="32"/>
          <w:lang w:val="en-US" w:eastAsia="zh-CN"/>
        </w:rPr>
        <w:t>PB20200160</w:t>
      </w:r>
      <w:r>
        <w:rPr>
          <w:rFonts w:hint="eastAsia" w:ascii="仿宋_GB2312" w:hAnsi="仿宋_GB2312" w:eastAsia="仿宋_GB2312" w:cs="仿宋_GB2312"/>
          <w:sz w:val="32"/>
          <w:szCs w:val="32"/>
          <w:lang w:eastAsia="zh-CN"/>
        </w:rPr>
        <w:t>）规划控制指标要求及有关规定进行规划设计。</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510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80</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613</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壹仟柒佰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1700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壹</w:t>
      </w:r>
      <w:r>
        <w:rPr>
          <w:rFonts w:hint="eastAsia" w:ascii="仿宋_GB2312" w:hAnsi="仿宋_GB2312" w:eastAsia="仿宋_GB2312" w:cs="仿宋_GB2312"/>
          <w:sz w:val="32"/>
          <w:szCs w:val="32"/>
          <w:u w:val="single"/>
        </w:rPr>
        <w:t>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28</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伍佰壹拾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510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捌拾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USD</w:t>
      </w:r>
      <w:r>
        <w:rPr>
          <w:rFonts w:hint="eastAsia" w:ascii="仿宋_GB2312" w:hAnsi="仿宋_GB2312" w:eastAsia="仿宋_GB2312" w:cs="仿宋_GB2312"/>
          <w:sz w:val="32"/>
          <w:szCs w:val="32"/>
          <w:u w:val="single"/>
          <w:lang w:val="en-US" w:eastAsia="zh-CN"/>
        </w:rPr>
        <w:t>80</w:t>
      </w:r>
      <w:r>
        <w:rPr>
          <w:rFonts w:hint="eastAsia" w:ascii="仿宋_GB2312" w:hAnsi="仿宋_GB2312" w:eastAsia="仿宋_GB2312" w:cs="仿宋_GB2312"/>
          <w:sz w:val="32"/>
          <w:szCs w:val="32"/>
        </w:rPr>
        <w:t>万元）或港</w:t>
      </w:r>
      <w:r>
        <w:rPr>
          <w:rFonts w:hint="eastAsia" w:ascii="仿宋_GB2312" w:hAnsi="仿宋_GB2312" w:eastAsia="仿宋_GB2312" w:cs="仿宋_GB2312"/>
          <w:sz w:val="32"/>
          <w:szCs w:val="32"/>
          <w:u w:val="none"/>
          <w:lang w:val="en-US" w:eastAsia="zh-CN"/>
        </w:rPr>
        <w:t>币</w:t>
      </w:r>
      <w:r>
        <w:rPr>
          <w:rFonts w:hint="eastAsia" w:ascii="仿宋_GB2312" w:hAnsi="仿宋_GB2312" w:eastAsia="仿宋_GB2312" w:cs="仿宋_GB2312"/>
          <w:sz w:val="32"/>
          <w:szCs w:val="32"/>
          <w:u w:val="single"/>
          <w:lang w:val="en-US" w:eastAsia="zh-CN"/>
        </w:rPr>
        <w:t>陆佰壹</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叁</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613</w:t>
      </w:r>
      <w:r>
        <w:rPr>
          <w:rFonts w:hint="eastAsia" w:ascii="仿宋_GB2312" w:hAnsi="仿宋_GB2312" w:eastAsia="仿宋_GB2312" w:cs="仿宋_GB2312"/>
          <w:sz w:val="32"/>
          <w:szCs w:val="32"/>
        </w:rPr>
        <w:t>万元）。</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中信银行股份有限公司惠州分行。(备注:中信银行股份有限公司惠州分行本行转帐须到银行柜面办理)。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bookmarkStart w:id="8" w:name="_GoBack"/>
      <w:bookmarkEnd w:id="8"/>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（4）转帐凭证复印件（加盖公章）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网上挂牌系统确定成交后，竞得人缴纳的竞买保证金按成交价的10%转作定金。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）网上挂牌成交后，竞得人应到我中心办理保证金转付地价款手续。未竞得人缴交的竞买保证金，在网上挂牌活动结束后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）竞得人签订《国有建设用地使用权网上挂牌成交确认书》后，</w:t>
      </w:r>
      <w:r>
        <w:rPr>
          <w:rFonts w:hint="eastAsia" w:ascii="仿宋_GB2312" w:hAnsi="仿宋_GB2312" w:eastAsia="仿宋_GB2312" w:cs="仿宋_GB2312"/>
          <w:sz w:val="32"/>
          <w:szCs w:val="32"/>
          <w:lang w:val="en-US" w:eastAsia="zh-CN"/>
        </w:rPr>
        <w:t>缴交的保证金中按成交价的10%转作定金；竞得人签订《出让合同》后，定金转作土地出让价款。</w:t>
      </w:r>
      <w:r>
        <w:rPr>
          <w:rFonts w:hint="eastAsia" w:ascii="仿宋_GB2312" w:hAnsi="仿宋_GB2312" w:eastAsia="仿宋_GB2312" w:cs="仿宋_GB2312"/>
          <w:sz w:val="32"/>
          <w:szCs w:val="32"/>
        </w:rPr>
        <w:t>《成交确认书》签订之日起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w:t>
      </w:r>
      <w:r>
        <w:rPr>
          <w:rFonts w:hint="eastAsia" w:ascii="仿宋_GB2312" w:eastAsia="仿宋_GB2312"/>
          <w:sz w:val="32"/>
          <w:szCs w:val="32"/>
          <w:lang w:val="en-US" w:eastAsia="zh-CN"/>
        </w:rPr>
        <w:t>三</w:t>
      </w:r>
      <w:r>
        <w:rPr>
          <w:rFonts w:hint="eastAsia" w:ascii="仿宋_GB2312" w:eastAsia="仿宋_GB2312"/>
          <w:sz w:val="32"/>
          <w:szCs w:val="32"/>
        </w:rPr>
        <w:t>）该宗地</w:t>
      </w:r>
      <w:r>
        <w:rPr>
          <w:rFonts w:hint="eastAsia" w:ascii="仿宋_GB2312" w:eastAsia="仿宋_GB2312"/>
          <w:sz w:val="32"/>
          <w:szCs w:val="32"/>
          <w:lang w:val="en-US" w:eastAsia="zh-CN"/>
        </w:rPr>
        <w:t>采</w:t>
      </w:r>
      <w:r>
        <w:rPr>
          <w:rFonts w:hint="eastAsia" w:ascii="仿宋_GB2312" w:eastAsia="仿宋_GB2312"/>
          <w:sz w:val="32"/>
          <w:szCs w:val="32"/>
        </w:rPr>
        <w:t>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42C6BAB"/>
    <w:rsid w:val="04F7599A"/>
    <w:rsid w:val="054F511E"/>
    <w:rsid w:val="05616BEE"/>
    <w:rsid w:val="065D58C0"/>
    <w:rsid w:val="071F73B3"/>
    <w:rsid w:val="077D5D24"/>
    <w:rsid w:val="07F629A0"/>
    <w:rsid w:val="09317644"/>
    <w:rsid w:val="0A812477"/>
    <w:rsid w:val="0DCB3B54"/>
    <w:rsid w:val="0FB217AF"/>
    <w:rsid w:val="0FB2799E"/>
    <w:rsid w:val="10152918"/>
    <w:rsid w:val="105A2768"/>
    <w:rsid w:val="10A1573B"/>
    <w:rsid w:val="10B43BC1"/>
    <w:rsid w:val="111E117E"/>
    <w:rsid w:val="11A17A14"/>
    <w:rsid w:val="12295A9F"/>
    <w:rsid w:val="15BB632B"/>
    <w:rsid w:val="15C4392F"/>
    <w:rsid w:val="15D340EA"/>
    <w:rsid w:val="16615977"/>
    <w:rsid w:val="168C318D"/>
    <w:rsid w:val="16AE6DA7"/>
    <w:rsid w:val="1960257D"/>
    <w:rsid w:val="19D941D6"/>
    <w:rsid w:val="1CB6407B"/>
    <w:rsid w:val="1ED73189"/>
    <w:rsid w:val="21587C67"/>
    <w:rsid w:val="23141DA3"/>
    <w:rsid w:val="25D63F7C"/>
    <w:rsid w:val="282C1E6E"/>
    <w:rsid w:val="28D2352A"/>
    <w:rsid w:val="28ED736B"/>
    <w:rsid w:val="29220F8B"/>
    <w:rsid w:val="29DE5841"/>
    <w:rsid w:val="2AA45603"/>
    <w:rsid w:val="2B1A2077"/>
    <w:rsid w:val="2CA246FC"/>
    <w:rsid w:val="2CD752D7"/>
    <w:rsid w:val="2D027EED"/>
    <w:rsid w:val="2DEB4267"/>
    <w:rsid w:val="2F944F64"/>
    <w:rsid w:val="2FA2409E"/>
    <w:rsid w:val="31880862"/>
    <w:rsid w:val="31B60A9D"/>
    <w:rsid w:val="33A33367"/>
    <w:rsid w:val="34C41D04"/>
    <w:rsid w:val="34CD617E"/>
    <w:rsid w:val="378C6660"/>
    <w:rsid w:val="38DE5E51"/>
    <w:rsid w:val="390E539D"/>
    <w:rsid w:val="3C4A4143"/>
    <w:rsid w:val="3C5E598F"/>
    <w:rsid w:val="3C8F0E4F"/>
    <w:rsid w:val="3CAD2EC5"/>
    <w:rsid w:val="3CB81CC8"/>
    <w:rsid w:val="3D322E34"/>
    <w:rsid w:val="3D5E1016"/>
    <w:rsid w:val="3FC22752"/>
    <w:rsid w:val="418879B1"/>
    <w:rsid w:val="432B1A76"/>
    <w:rsid w:val="440C4340"/>
    <w:rsid w:val="44811DC9"/>
    <w:rsid w:val="450E3C66"/>
    <w:rsid w:val="454309A1"/>
    <w:rsid w:val="45C47203"/>
    <w:rsid w:val="45E829E7"/>
    <w:rsid w:val="465E4F22"/>
    <w:rsid w:val="467262F8"/>
    <w:rsid w:val="46F579AB"/>
    <w:rsid w:val="48566E44"/>
    <w:rsid w:val="48593E6F"/>
    <w:rsid w:val="4BA610FC"/>
    <w:rsid w:val="4CF51C39"/>
    <w:rsid w:val="4ED2701A"/>
    <w:rsid w:val="4F1E4BBE"/>
    <w:rsid w:val="4F3537ED"/>
    <w:rsid w:val="4FFE1B2F"/>
    <w:rsid w:val="52AA5DFE"/>
    <w:rsid w:val="533F6C66"/>
    <w:rsid w:val="544F17E9"/>
    <w:rsid w:val="546D5003"/>
    <w:rsid w:val="54943EAC"/>
    <w:rsid w:val="54C11818"/>
    <w:rsid w:val="58FE24B1"/>
    <w:rsid w:val="59693A9B"/>
    <w:rsid w:val="5A154FE3"/>
    <w:rsid w:val="5AEE4F52"/>
    <w:rsid w:val="5B1D2CCC"/>
    <w:rsid w:val="5B52670E"/>
    <w:rsid w:val="5B625B54"/>
    <w:rsid w:val="5B640509"/>
    <w:rsid w:val="5D006096"/>
    <w:rsid w:val="5DB15592"/>
    <w:rsid w:val="610A5EBF"/>
    <w:rsid w:val="6178185B"/>
    <w:rsid w:val="62D41879"/>
    <w:rsid w:val="648A18F5"/>
    <w:rsid w:val="64C30585"/>
    <w:rsid w:val="651C53A6"/>
    <w:rsid w:val="659D6FA9"/>
    <w:rsid w:val="65F2007E"/>
    <w:rsid w:val="68085778"/>
    <w:rsid w:val="688B43B5"/>
    <w:rsid w:val="69E22ED5"/>
    <w:rsid w:val="6B8A6BF3"/>
    <w:rsid w:val="6BFA1460"/>
    <w:rsid w:val="6C013F77"/>
    <w:rsid w:val="6C181FB4"/>
    <w:rsid w:val="6C611252"/>
    <w:rsid w:val="6CCC1A8E"/>
    <w:rsid w:val="6FCE2720"/>
    <w:rsid w:val="74CC0B4E"/>
    <w:rsid w:val="76B47A3E"/>
    <w:rsid w:val="77A91566"/>
    <w:rsid w:val="77E167B8"/>
    <w:rsid w:val="78591F3E"/>
    <w:rsid w:val="78CA1EAE"/>
    <w:rsid w:val="7B3065F7"/>
    <w:rsid w:val="7B8363CD"/>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16</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2021-03-25T01:04:59Z</cp:lastPrinted>
  <dcterms:modified xsi:type="dcterms:W3CDTF">2021-03-25T01:14:52Z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