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val="en-US" w:eastAsia="zh-CN"/>
        </w:rPr>
        <w:t>惠州市惠城区</w:t>
      </w:r>
      <w:r>
        <w:rPr>
          <w:rFonts w:hint="eastAsia" w:ascii="仿宋_GB2312" w:hAnsi="仿宋_GB2312" w:eastAsia="仿宋_GB2312" w:cs="仿宋_GB2312"/>
          <w:sz w:val="32"/>
          <w:szCs w:val="32"/>
          <w:lang w:eastAsia="zh-CN"/>
        </w:rPr>
        <w:t>鹿江沥南岸;</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eastAsia="zh-CN"/>
        </w:rPr>
        <w:t>：LJL-47-21;</w:t>
      </w:r>
    </w:p>
    <w:p>
      <w:pPr>
        <w:tabs>
          <w:tab w:val="left" w:pos="3388"/>
        </w:tabs>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（四）地块范围</w:t>
      </w:r>
      <w:r>
        <w:rPr>
          <w:rFonts w:hint="eastAsia" w:ascii="仿宋_GB2312" w:hAnsi="仿宋_GB2312" w:eastAsia="仿宋_GB2312" w:cs="仿宋_GB2312"/>
          <w:sz w:val="32"/>
          <w:szCs w:val="32"/>
          <w:lang w:eastAsia="zh-CN"/>
        </w:rPr>
        <w:t>：平面界址点以《建设用地红线图》（案宗编号：</w:t>
      </w:r>
      <w:r>
        <w:rPr>
          <w:rFonts w:hint="eastAsia" w:ascii="仿宋_GB2312" w:hAnsi="仿宋_GB2312" w:eastAsia="仿宋_GB2312" w:cs="仿宋_GB2312"/>
          <w:sz w:val="32"/>
          <w:szCs w:val="32"/>
          <w:lang w:val="en-US" w:eastAsia="zh-CN"/>
        </w:rPr>
        <w:t>YD20200076</w:t>
      </w:r>
      <w:r>
        <w:rPr>
          <w:rFonts w:hint="eastAsia" w:ascii="仿宋_GB2312" w:hAnsi="仿宋_GB2312" w:eastAsia="仿宋_GB2312" w:cs="仿宋_GB2312"/>
          <w:sz w:val="32"/>
          <w:szCs w:val="32"/>
          <w:lang w:eastAsia="zh-CN"/>
        </w:rPr>
        <w:t>）为准，宗地竖向界限以《规划设计条件告知书》（案卷编号：PB</w:t>
      </w:r>
      <w:r>
        <w:rPr>
          <w:rFonts w:hint="eastAsia" w:ascii="仿宋_GB2312" w:hAnsi="仿宋_GB2312" w:eastAsia="仿宋_GB2312" w:cs="仿宋_GB2312"/>
          <w:sz w:val="32"/>
          <w:szCs w:val="32"/>
          <w:lang w:val="en-US" w:eastAsia="zh-CN"/>
        </w:rPr>
        <w:t>20200095</w:t>
      </w:r>
      <w:r>
        <w:rPr>
          <w:rFonts w:hint="eastAsia" w:ascii="仿宋_GB2312" w:hAnsi="仿宋_GB2312" w:eastAsia="仿宋_GB2312" w:cs="仿宋_GB2312"/>
          <w:sz w:val="32"/>
          <w:szCs w:val="32"/>
          <w:lang w:eastAsia="zh-CN"/>
        </w:rPr>
        <w:t>，以下简称《告知书》）规定为准；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w:t>
      </w:r>
      <w:r>
        <w:rPr>
          <w:rFonts w:hint="eastAsia" w:ascii="仿宋_GB2312" w:hAnsi="仿宋_GB2312" w:eastAsia="仿宋_GB2312" w:cs="仿宋_GB2312"/>
          <w:sz w:val="32"/>
          <w:szCs w:val="32"/>
        </w:rPr>
        <w:t>面积为：</w:t>
      </w:r>
      <w:r>
        <w:rPr>
          <w:rFonts w:hint="eastAsia" w:ascii="仿宋_GB2312" w:hAnsi="仿宋_GB2312" w:eastAsia="仿宋_GB2312" w:cs="仿宋_GB2312"/>
          <w:sz w:val="32"/>
          <w:szCs w:val="32"/>
          <w:lang w:val="en-US" w:eastAsia="zh-CN"/>
        </w:rPr>
        <w:t>106237.26平</w:t>
      </w:r>
      <w:r>
        <w:rPr>
          <w:rFonts w:hint="eastAsia" w:ascii="仿宋_GB2312" w:hAnsi="仿宋_GB2312" w:eastAsia="仿宋_GB2312" w:cs="仿宋_GB2312"/>
          <w:sz w:val="32"/>
          <w:szCs w:val="32"/>
        </w:rPr>
        <w:t>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125002.38平</w:t>
      </w:r>
      <w:r>
        <w:rPr>
          <w:rFonts w:hint="eastAsia" w:ascii="仿宋_GB2312" w:hAnsi="仿宋_GB2312" w:eastAsia="仿宋_GB2312" w:cs="仿宋_GB2312"/>
          <w:sz w:val="32"/>
          <w:szCs w:val="32"/>
        </w:rPr>
        <w:t>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：≤387506㎡(其中：商业建筑面积≤5%，配套设施建筑面积≥7140㎡）；</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城镇住宅、商服</w:t>
      </w:r>
      <w:r>
        <w:rPr>
          <w:rFonts w:hint="default"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城镇住宅</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商服</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（十）容积率为：≤3.1；</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十一）建筑密度为：≤30%（住宅建筑密度≤22%）； </w:t>
      </w:r>
    </w:p>
    <w:p>
      <w:pPr>
        <w:tabs>
          <w:tab w:val="left" w:pos="3388"/>
        </w:tabs>
        <w:spacing w:line="560" w:lineRule="exact"/>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十二）绿地为：≥35％；</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十三）机动车停车位配建标准：每100㎡计容积率建筑面积≥1个；</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（十四）适建性：住宅和</w:t>
      </w:r>
      <w:r>
        <w:rPr>
          <w:rFonts w:hint="eastAsia" w:ascii="仿宋_GB2312" w:hAnsi="仿宋_GB2312" w:eastAsia="仿宋_GB2312" w:cs="仿宋_GB2312"/>
          <w:sz w:val="32"/>
          <w:szCs w:val="32"/>
          <w:lang w:eastAsia="zh-CN"/>
        </w:rPr>
        <w:t>商业及配套设施</w:t>
      </w:r>
      <w:r>
        <w:rPr>
          <w:rFonts w:hint="eastAsia" w:ascii="仿宋_GB2312" w:hAnsi="仿宋_GB2312" w:eastAsia="仿宋_GB2312" w:cs="仿宋_GB2312"/>
          <w:sz w:val="32"/>
          <w:szCs w:val="32"/>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bookmarkStart w:id="8" w:name="_GoBack"/>
      <w:bookmarkEnd w:id="8"/>
      <w:r>
        <w:rPr>
          <w:rFonts w:hint="eastAsia" w:ascii="仿宋_GB2312" w:hAnsi="仿宋_GB2312" w:eastAsia="仿宋_GB2312" w:cs="仿宋_GB2312"/>
          <w:sz w:val="32"/>
          <w:szCs w:val="32"/>
        </w:rPr>
        <w:t>）竞得人在缴清地价款后</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个月内办理交地手续，凭《交地确认书》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出让合同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和地价款交款凭证</w:t>
      </w:r>
      <w:r>
        <w:rPr>
          <w:rFonts w:hint="eastAsia" w:ascii="仿宋_GB2312" w:hAnsi="仿宋_GB2312" w:eastAsia="仿宋_GB2312" w:cs="仿宋_GB2312"/>
          <w:sz w:val="32"/>
          <w:szCs w:val="32"/>
        </w:rPr>
        <w:t>等申请办理土地初始登记，领取《不动产权证书》。</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（一）开发投资总额不少于</w:t>
      </w:r>
      <w:r>
        <w:rPr>
          <w:rFonts w:hint="eastAsia" w:ascii="仿宋_GB2312" w:hAnsi="仿宋_GB2312" w:eastAsia="仿宋_GB2312" w:cs="仿宋_GB2312"/>
          <w:sz w:val="32"/>
          <w:szCs w:val="32"/>
          <w:lang w:val="en-US" w:eastAsia="zh-CN"/>
        </w:rPr>
        <w:t>360100</w:t>
      </w:r>
      <w:r>
        <w:rPr>
          <w:rFonts w:hint="default" w:ascii="仿宋_GB2312" w:hAnsi="仿宋_GB2312" w:eastAsia="仿宋_GB2312" w:cs="仿宋_GB2312"/>
          <w:sz w:val="32"/>
          <w:szCs w:val="32"/>
          <w:lang w:val="en-US" w:eastAsia="zh-CN"/>
        </w:rPr>
        <w:t>万元（含地价,不含地价溢价部分）。</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（二）土地成交价款须以人民币支付,竞得人在签订《出让合同》之日起</w:t>
      </w:r>
      <w:r>
        <w:rPr>
          <w:rFonts w:hint="eastAsia" w:ascii="仿宋_GB2312" w:hAnsi="仿宋_GB2312" w:eastAsia="仿宋_GB2312" w:cs="仿宋_GB2312"/>
          <w:sz w:val="32"/>
          <w:szCs w:val="32"/>
          <w:lang w:val="en-US" w:eastAsia="zh-CN"/>
        </w:rPr>
        <w:t>一个月</w:t>
      </w:r>
      <w:r>
        <w:rPr>
          <w:rFonts w:hint="default" w:ascii="仿宋_GB2312" w:hAnsi="仿宋_GB2312" w:eastAsia="仿宋_GB2312" w:cs="仿宋_GB2312"/>
          <w:sz w:val="32"/>
          <w:szCs w:val="32"/>
          <w:lang w:val="en-US" w:eastAsia="zh-CN"/>
        </w:rPr>
        <w:t>内付清全部成交价款。</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（三）该地权利清晰，安置补偿落实到位，没有法律经济纠纷，具备动工开发所必须的基本条件。</w:t>
      </w:r>
    </w:p>
    <w:p>
      <w:pPr>
        <w:tabs>
          <w:tab w:val="left" w:pos="3388"/>
        </w:tabs>
        <w:spacing w:line="560" w:lineRule="exact"/>
        <w:ind w:firstLine="320" w:firstLineChars="1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（四）竞得人在用地红线内开发建设必须符合城市规划要求，必须按《告知书》（案卷编号：PB20</w:t>
      </w:r>
      <w:r>
        <w:rPr>
          <w:rFonts w:hint="default"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0095）规划控制指标要求及有关规定进行规划设计。</w:t>
      </w:r>
    </w:p>
    <w:p>
      <w:pPr>
        <w:tabs>
          <w:tab w:val="left" w:pos="3388"/>
        </w:tabs>
        <w:spacing w:line="560" w:lineRule="exact"/>
        <w:ind w:firstLine="320" w:firstLineChars="1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LJL-47-21地块内的配套幼儿园用地，在办理用地供地手续时，应将整个地块办理出让手续，在出让合同中明确由LJL-47-21地块使用权人按照规划要求和惠城区教育局提出的建设标准完成配套幼儿园建设并无偿移交，不动产登记部门在办理分割登记时，将幼儿园办至惠城区教育局名下。幼儿园应与项目同步规划、同步建设、同步实施，LJL-47-21地块如分期建设，幼儿园须纳入首期工程。</w:t>
      </w:r>
    </w:p>
    <w:p>
      <w:pPr>
        <w:tabs>
          <w:tab w:val="left" w:pos="3388"/>
        </w:tabs>
        <w:spacing w:line="560" w:lineRule="exact"/>
        <w:ind w:firstLine="320" w:firstLineChars="1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LJL-47-20地块50027㎡九年一贯制学校用地同步无偿划拨给惠城区教育局，用途为教育用地，由取得LJL-47-21地块使用权者负责建设，并无偿移交给惠城区教育局，学校操场下须配建社会公共停车位不少于420个，建成后移交市交通投资集团有限公司管理。</w:t>
      </w:r>
    </w:p>
    <w:p>
      <w:pPr>
        <w:tabs>
          <w:tab w:val="left" w:pos="3388"/>
        </w:tabs>
        <w:spacing w:line="560" w:lineRule="exact"/>
        <w:ind w:firstLine="320" w:firstLineChars="1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（七）取得LJL-47-21地块土地使用权人应按照《告知书》的规划要求配建相应的配套设施。</w:t>
      </w:r>
    </w:p>
    <w:p>
      <w:pPr>
        <w:tabs>
          <w:tab w:val="left" w:pos="3388"/>
        </w:tabs>
        <w:spacing w:line="56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45200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6687</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51824</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贰拾贰亿陆仟</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226000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壹仟</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1000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 xml:space="preserve">  日9时整，竞买保证金为人民币</w:t>
      </w:r>
      <w:r>
        <w:rPr>
          <w:rFonts w:hint="eastAsia" w:ascii="仿宋_GB2312" w:hAnsi="仿宋_GB2312" w:eastAsia="仿宋_GB2312" w:cs="仿宋_GB2312"/>
          <w:sz w:val="32"/>
          <w:szCs w:val="32"/>
          <w:u w:val="single"/>
          <w:lang w:val="en-US" w:eastAsia="zh-CN"/>
        </w:rPr>
        <w:t>肆亿伍仟贰</w:t>
      </w:r>
      <w:r>
        <w:rPr>
          <w:rFonts w:hint="eastAsia" w:ascii="仿宋_GB2312" w:hAnsi="仿宋_GB2312" w:eastAsia="仿宋_GB2312" w:cs="仿宋_GB2312"/>
          <w:sz w:val="32"/>
          <w:szCs w:val="32"/>
          <w:u w:val="single"/>
        </w:rPr>
        <w:t>佰万元整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45200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陆仟陆佰捌拾柒</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6687</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伍亿壹仟捌</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贰拾肆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51824</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568"/>
        <w:rPr>
          <w:rFonts w:hint="eastAsia" w:ascii="仿宋_GB2312" w:eastAsia="仿宋_GB2312"/>
          <w:sz w:val="32"/>
          <w:szCs w:val="32"/>
        </w:rPr>
      </w:pPr>
      <w:r>
        <w:rPr>
          <w:rFonts w:hint="eastAsia" w:ascii="仿宋_GB2312" w:eastAsia="仿宋_GB2312"/>
          <w:sz w:val="32"/>
          <w:szCs w:val="32"/>
          <w:lang w:val="en-US" w:eastAsia="zh-CN"/>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3"/>
        </w:pPr>
        <w:r>
          <w:fldChar w:fldCharType="begin"/>
        </w:r>
        <w:r>
          <w:instrText xml:space="preserve"> PAGE   \* MERGEFORMAT </w:instrText>
        </w:r>
        <w:r>
          <w:fldChar w:fldCharType="separate"/>
        </w:r>
        <w:r>
          <w:rPr>
            <w:lang w:val="zh-CN"/>
          </w:rPr>
          <w:t>-</w:t>
        </w:r>
        <w:r>
          <w:t xml:space="preserve"> 17 -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442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2830E8F"/>
    <w:rsid w:val="030F1806"/>
    <w:rsid w:val="04AD7D35"/>
    <w:rsid w:val="054F511E"/>
    <w:rsid w:val="07BD19CE"/>
    <w:rsid w:val="0CD05DB7"/>
    <w:rsid w:val="0F830A62"/>
    <w:rsid w:val="0FC62DE2"/>
    <w:rsid w:val="109A02CD"/>
    <w:rsid w:val="114A1759"/>
    <w:rsid w:val="124E6E97"/>
    <w:rsid w:val="16283DCA"/>
    <w:rsid w:val="17063887"/>
    <w:rsid w:val="174A0854"/>
    <w:rsid w:val="18E65A07"/>
    <w:rsid w:val="19D3338D"/>
    <w:rsid w:val="1C02065E"/>
    <w:rsid w:val="1C387F88"/>
    <w:rsid w:val="1C552ED6"/>
    <w:rsid w:val="1D082B40"/>
    <w:rsid w:val="1E192718"/>
    <w:rsid w:val="1FAB74B3"/>
    <w:rsid w:val="20061FAD"/>
    <w:rsid w:val="24FB650C"/>
    <w:rsid w:val="255574D0"/>
    <w:rsid w:val="26067B89"/>
    <w:rsid w:val="2608519C"/>
    <w:rsid w:val="267D0353"/>
    <w:rsid w:val="296C67A2"/>
    <w:rsid w:val="2A8A6543"/>
    <w:rsid w:val="2B1F080F"/>
    <w:rsid w:val="2B1F451B"/>
    <w:rsid w:val="2B9F5586"/>
    <w:rsid w:val="2BAF1540"/>
    <w:rsid w:val="2D2A5590"/>
    <w:rsid w:val="2D6206D4"/>
    <w:rsid w:val="2E441035"/>
    <w:rsid w:val="30853164"/>
    <w:rsid w:val="322A1DC6"/>
    <w:rsid w:val="34405344"/>
    <w:rsid w:val="351709CA"/>
    <w:rsid w:val="35F81310"/>
    <w:rsid w:val="385771C0"/>
    <w:rsid w:val="38AB40F2"/>
    <w:rsid w:val="39F76430"/>
    <w:rsid w:val="3AAC2138"/>
    <w:rsid w:val="3BE56A3C"/>
    <w:rsid w:val="3D6D59E8"/>
    <w:rsid w:val="3DBA5BC3"/>
    <w:rsid w:val="3E3E281B"/>
    <w:rsid w:val="3E546F3E"/>
    <w:rsid w:val="3E5F4D8D"/>
    <w:rsid w:val="41A12A91"/>
    <w:rsid w:val="426E3FC4"/>
    <w:rsid w:val="43185547"/>
    <w:rsid w:val="460036EA"/>
    <w:rsid w:val="4632212B"/>
    <w:rsid w:val="488B5055"/>
    <w:rsid w:val="49EB09D0"/>
    <w:rsid w:val="4A791F5D"/>
    <w:rsid w:val="4BB72777"/>
    <w:rsid w:val="4E1B3647"/>
    <w:rsid w:val="4ED04BDC"/>
    <w:rsid w:val="51F83D16"/>
    <w:rsid w:val="550A1D05"/>
    <w:rsid w:val="557A637A"/>
    <w:rsid w:val="575C2D03"/>
    <w:rsid w:val="5A233067"/>
    <w:rsid w:val="5C2303AF"/>
    <w:rsid w:val="5C4C3ACF"/>
    <w:rsid w:val="5C731101"/>
    <w:rsid w:val="62856A44"/>
    <w:rsid w:val="64DD162F"/>
    <w:rsid w:val="65E21D43"/>
    <w:rsid w:val="661C1CD7"/>
    <w:rsid w:val="67576BA1"/>
    <w:rsid w:val="68C033F6"/>
    <w:rsid w:val="68FB76FE"/>
    <w:rsid w:val="69CC62F3"/>
    <w:rsid w:val="6B405C37"/>
    <w:rsid w:val="6CAD7062"/>
    <w:rsid w:val="6E3479CC"/>
    <w:rsid w:val="70E3266E"/>
    <w:rsid w:val="71007E48"/>
    <w:rsid w:val="71772A86"/>
    <w:rsid w:val="761D17FA"/>
    <w:rsid w:val="7E3C774C"/>
    <w:rsid w:val="7FA44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kern w:val="2"/>
      <w:sz w:val="18"/>
      <w:szCs w:val="18"/>
    </w:rPr>
  </w:style>
  <w:style w:type="character" w:customStyle="1" w:styleId="8">
    <w:name w:val="页脚 Char"/>
    <w:basedOn w:val="5"/>
    <w:link w:val="3"/>
    <w:qFormat/>
    <w:uiPriority w:val="99"/>
    <w:rPr>
      <w:rFonts w:ascii="Calibri" w:hAnsi="Calibri"/>
      <w:kern w:val="2"/>
      <w:sz w:val="18"/>
      <w:szCs w:val="22"/>
    </w:rPr>
  </w:style>
  <w:style w:type="character" w:customStyle="1" w:styleId="9">
    <w:name w:val="正文文本缩进 Char"/>
    <w:basedOn w:val="5"/>
    <w:link w:val="2"/>
    <w:qFormat/>
    <w:uiPriority w:val="0"/>
    <w:rPr>
      <w:rFonts w:ascii="仿宋_GB2312" w:hAnsi="华文中宋"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2020-04-30T08:52:00Z</cp:lastPrinted>
  <dcterms:modified xsi:type="dcterms:W3CDTF">2020-09-30T01:16:37Z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