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惠州市国有建设用地使用权网上</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挂牌出让须知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惠城区自然资源局委托，本中心以网上挂牌交易方式出让下列国有建设用地使用权。</w:t>
      </w:r>
      <w:bookmarkStart w:id="0" w:name="99"/>
      <w:bookmarkEnd w:id="0"/>
    </w:p>
    <w:p>
      <w:pPr>
        <w:ind w:firstLine="643" w:firstLineChars="200"/>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（二）地块位置：</w:t>
      </w:r>
      <w:r>
        <w:rPr>
          <w:rFonts w:hint="eastAsia" w:ascii="仿宋_GB2312" w:hAnsi="仿宋_GB2312" w:eastAsia="仿宋_GB2312" w:cs="仿宋_GB2312"/>
          <w:sz w:val="32"/>
          <w:szCs w:val="32"/>
          <w:lang w:val="en-US" w:eastAsia="zh-CN"/>
        </w:rPr>
        <w:t>惠州市惠城区马安工业集中发展区（北）；</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（三）规划编号</w:t>
      </w:r>
      <w:r>
        <w:rPr>
          <w:rFonts w:hint="eastAsia" w:ascii="仿宋_GB2312" w:hAnsi="仿宋_GB2312" w:eastAsia="仿宋_GB2312" w:cs="仿宋_GB2312"/>
          <w:sz w:val="32"/>
          <w:szCs w:val="32"/>
          <w:lang w:val="en-US" w:eastAsia="zh-CN"/>
        </w:rPr>
        <w:t>：MABY-01-28-02；</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（四）地块范围：平面界址点以宗地图为准，宗地竖向界限以《</w:t>
      </w:r>
      <w:r>
        <w:rPr>
          <w:rFonts w:hint="eastAsia" w:ascii="仿宋_GB2312" w:hAnsi="仿宋_GB2312" w:eastAsia="仿宋_GB2312" w:cs="仿宋_GB2312"/>
          <w:sz w:val="32"/>
          <w:szCs w:val="32"/>
          <w:lang w:val="en-US" w:eastAsia="zh-CN"/>
        </w:rPr>
        <w:t>规划条件告知书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val="en-US" w:eastAsia="zh-CN"/>
        </w:rPr>
        <w:t>HCPB20200007</w:t>
      </w:r>
      <w:r>
        <w:rPr>
          <w:rFonts w:hint="eastAsia" w:ascii="仿宋_GB2312" w:hAnsi="仿宋_GB2312" w:eastAsia="仿宋_GB2312" w:cs="仿宋_GB2312"/>
          <w:sz w:val="32"/>
          <w:szCs w:val="32"/>
        </w:rPr>
        <w:t>）规定为准；</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（五）宗地使用权面积为：</w:t>
      </w:r>
      <w:r>
        <w:rPr>
          <w:rFonts w:hint="eastAsia" w:ascii="仿宋_GB2312" w:hAnsi="仿宋_GB2312" w:eastAsia="仿宋_GB2312" w:cs="仿宋_GB2312"/>
          <w:sz w:val="32"/>
          <w:szCs w:val="32"/>
          <w:lang w:val="en-US" w:eastAsia="zh-CN"/>
        </w:rPr>
        <w:t>20545.69平方米；</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（六）计算指标用地面积为：</w:t>
      </w:r>
      <w:r>
        <w:rPr>
          <w:rFonts w:hint="eastAsia" w:ascii="仿宋_GB2312" w:hAnsi="仿宋_GB2312" w:eastAsia="仿宋_GB2312" w:cs="仿宋_GB2312"/>
          <w:sz w:val="32"/>
          <w:szCs w:val="32"/>
          <w:lang w:val="en-US" w:eastAsia="zh-CN"/>
        </w:rPr>
        <w:t>22868平方米；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（七）计容积率建筑面积为：</w:t>
      </w:r>
      <w:r>
        <w:rPr>
          <w:rFonts w:hint="eastAsia" w:ascii="仿宋_GB2312" w:hAnsi="仿宋_GB2312" w:eastAsia="仿宋_GB2312" w:cs="仿宋_GB2312"/>
          <w:sz w:val="32"/>
          <w:szCs w:val="32"/>
          <w:lang w:val="en-US" w:eastAsia="zh-CN"/>
        </w:rPr>
        <w:t>41163-80038平方米；</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（八）土地用途为：</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类工业用地</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（九）土地使用权出让年期为：工业用地50年；</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（十）容积率</w:t>
      </w:r>
      <w:r>
        <w:rPr>
          <w:rFonts w:hint="eastAsia" w:ascii="仿宋_GB2312" w:hAnsi="仿宋_GB2312" w:eastAsia="仿宋_GB2312" w:cs="仿宋_GB2312"/>
          <w:sz w:val="32"/>
          <w:szCs w:val="32"/>
          <w:lang w:val="en-US" w:eastAsia="zh-CN"/>
        </w:rPr>
        <w:t>为：1.8-</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5；</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（十一）绿地率为:</w:t>
      </w:r>
      <w:r>
        <w:rPr>
          <w:rFonts w:hint="eastAsia" w:ascii="仿宋_GB2312" w:hAnsi="仿宋_GB2312" w:eastAsia="仿宋_GB2312" w:cs="仿宋_GB2312"/>
          <w:sz w:val="32"/>
          <w:szCs w:val="32"/>
          <w:lang w:val="en-US" w:eastAsia="zh-CN"/>
        </w:rPr>
        <w:t xml:space="preserve"> 15-20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（十二）建筑密度为</w:t>
      </w:r>
      <w:r>
        <w:rPr>
          <w:rFonts w:hint="eastAsia" w:ascii="仿宋_GB2312" w:hAnsi="仿宋_GB2312" w:eastAsia="仿宋_GB2312" w:cs="仿宋_GB2312"/>
          <w:sz w:val="32"/>
          <w:szCs w:val="32"/>
          <w:lang w:val="en-US" w:eastAsia="zh-CN"/>
        </w:rPr>
        <w:t>: ≥35%;</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）机动车停车位配建标准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每100平方米计容积率面积≥1个</w:t>
      </w:r>
      <w:r>
        <w:rPr>
          <w:rFonts w:hint="eastAsia" w:ascii="仿宋_GB2312" w:hAnsi="仿宋_GB2312" w:eastAsia="仿宋_GB2312" w:cs="仿宋_GB2312"/>
          <w:sz w:val="32"/>
          <w:szCs w:val="32"/>
          <w:lang w:val="en-US" w:eastAsia="zh-CN"/>
        </w:rPr>
        <w:t>；</w:t>
      </w: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）产业类</w:t>
      </w:r>
      <w:r>
        <w:rPr>
          <w:rFonts w:hint="eastAsia" w:ascii="仿宋_GB2312" w:hAnsi="仿宋_GB2312" w:eastAsia="仿宋_GB2312" w:cs="仿宋_GB2312"/>
          <w:sz w:val="32"/>
          <w:szCs w:val="32"/>
          <w:lang w:val="en-US" w:eastAsia="zh-CN"/>
        </w:rPr>
        <w:t>型：</w:t>
      </w:r>
      <w:r>
        <w:rPr>
          <w:rFonts w:hint="eastAsia" w:ascii="仿宋_GB2312" w:hAnsi="仿宋_GB2312" w:eastAsia="仿宋_GB2312" w:cs="仿宋_GB2312"/>
          <w:sz w:val="32"/>
          <w:szCs w:val="32"/>
          <w:lang w:eastAsia="zh-CN"/>
        </w:rPr>
        <w:t>通信设备、计算机及其他电子设备制造业</w:t>
      </w:r>
      <w:r>
        <w:rPr>
          <w:rFonts w:hint="eastAsia" w:ascii="仿宋_GB2312" w:hAnsi="仿宋_GB2312" w:eastAsia="仿宋_GB2312" w:cs="仿宋_GB2312"/>
          <w:sz w:val="32"/>
          <w:szCs w:val="32"/>
          <w:lang w:val="en-US" w:eastAsia="zh-CN"/>
        </w:rPr>
        <w:t>用地；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）动工及竣工时间：该地块的动工时间为地块交付之日起一年内，竣工时间为动工之日起三年内（因不可抗拒因素除外）；</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）土地交付使用时间为《国有建设用地使用权出让合同》签订之日。</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27000</w:t>
      </w:r>
      <w:r>
        <w:rPr>
          <w:rFonts w:hint="eastAsia" w:ascii="仿宋_GB2312" w:hAnsi="仿宋_GB2312" w:eastAsia="仿宋_GB2312" w:cs="仿宋_GB2312"/>
          <w:sz w:val="32"/>
          <w:szCs w:val="32"/>
        </w:rPr>
        <w:t>万元（含地价）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）该地权利清晰，安置补偿落实到位，没有法律经济纠纷，具备动工开发所必须的基本条件。</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）竞得人在用地红线内开发建设必须符合城市规划要求，必须按</w:t>
      </w:r>
      <w:r>
        <w:rPr>
          <w:rFonts w:hint="eastAsia" w:hAnsi="仿宋_GB2312" w:cs="仿宋_GB2312"/>
          <w:szCs w:val="32"/>
          <w:lang w:eastAsia="zh-CN"/>
        </w:rPr>
        <w:t>上述建设方案的要求</w:t>
      </w:r>
      <w:r>
        <w:rPr>
          <w:rFonts w:hint="eastAsia" w:hAnsi="仿宋_GB2312" w:cs="仿宋_GB2312"/>
          <w:szCs w:val="32"/>
        </w:rPr>
        <w:t>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hAnsi="仿宋_GB2312" w:cs="仿宋_GB231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（六）项目规划建设方案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所报总平面图的主要技术经济指标：规划布局3栋厂房、1栋办公楼、1栋宿舍楼，计算指标用地面积22868平方米，建筑层数地上最高15层（建筑高度最高50米，使用功能为宿舍），计容积率总建筑面积59456.8平方米（其中行政办公及生活服务设施建筑面积11891.36平方米，占比20%），容积率2.6 ，建筑密度 35%（其中行政办公设施用地面积1600平方米，占比7%），绿地率15%，停车位350个（其中地上30个、地下 320个），各项指标满足《建设用地规划设计条件》（HCPB20200007)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2、建设项目平面布置图详见附件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（七）招商条件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投资强度不低于11608元/平方米，土地产出率（营业收入）不低于26739元/平方米/年，税收产出不低于1300元/平方米/年。其中，土地产出率及税收产出，在项目投产后3年内逐年考核，3年内的平均值不得低于上述标准。项目须在正式签订建设用地交地确认书后3个月内动工建设，2年内竣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（八）竞得人在签订《成交确认书》前，须与惠城区高新科技产业园管委会签订《惠城区工业项目土地建设和使用监管协议书》，并由惠城区高新科技产业园管委会对项目用地实施批后监管。</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五、竞买资格及要求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中华人民共和国境内外的法人和其他组织（除法律法规另有规定外），均可申请参加竞买。申请人可以单独申请，也可以联合申请。申请人还应具备下列条件：</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按时，足额交纳竞买保证金。该宗地竞买保证金为</w:t>
      </w:r>
      <w:r>
        <w:rPr>
          <w:rFonts w:hint="eastAsia" w:ascii="仿宋_GB2312" w:hAnsi="仿宋_GB2312" w:eastAsia="仿宋_GB2312" w:cs="仿宋_GB2312"/>
          <w:sz w:val="32"/>
          <w:szCs w:val="32"/>
          <w:lang w:val="en-US" w:eastAsia="zh-CN"/>
        </w:rPr>
        <w:t>678</w:t>
      </w:r>
      <w:r>
        <w:rPr>
          <w:rFonts w:hint="eastAsia" w:ascii="仿宋_GB2312" w:hAnsi="仿宋_GB2312" w:eastAsia="仿宋_GB2312" w:cs="仿宋_GB2312"/>
          <w:sz w:val="32"/>
          <w:szCs w:val="32"/>
        </w:rPr>
        <w:t>万元民币。</w:t>
      </w:r>
      <w:bookmarkStart w:id="3" w:name="_GoBack"/>
      <w:bookmarkEnd w:id="3"/>
    </w:p>
    <w:p>
      <w:pPr>
        <w:numPr>
          <w:ilvl w:val="0"/>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（四）申请人及其控股股东存在下列行为之一的，不得参与上述地块竞买活动：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六、违约及处理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竞得人缴交的保证金中按成交价的20%转作定金.竞得人有下列行为之一的，视为违约，取消竞得人资格，定金不予退还,并由有关部门依法处理;造成损失的，竞得人还应依法承担赔偿责任：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（二）采取行贿、恶意串通等非法手段竞得的。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（三）竞得人以其他非法手段竞得的。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（四）竞得人逾期或拒绝签订《成交确认书》的。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（五）竞得人逾期或拒绝签订《出让合同》的。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（七）构成违约责任的其他行为。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贰仟贰佰陆拾万元整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2260</w:t>
      </w:r>
      <w:r>
        <w:rPr>
          <w:rFonts w:hint="eastAsia" w:ascii="仿宋_GB2312" w:hAnsi="仿宋_GB2312" w:eastAsia="仿宋_GB2312" w:cs="仿宋_GB2312"/>
          <w:sz w:val="32"/>
          <w:szCs w:val="32"/>
        </w:rPr>
        <w:t>万元）（土地单价</w:t>
      </w:r>
      <w:r>
        <w:rPr>
          <w:rFonts w:hint="eastAsia" w:ascii="仿宋_GB2312" w:hAnsi="仿宋_GB2312" w:eastAsia="仿宋_GB2312" w:cs="仿宋_GB2312"/>
          <w:sz w:val="32"/>
          <w:szCs w:val="32"/>
          <w:u w:val="single"/>
          <w:lang w:val="en-US" w:eastAsia="zh-CN"/>
        </w:rPr>
        <w:t>988</w:t>
      </w:r>
      <w:r>
        <w:rPr>
          <w:rFonts w:hint="eastAsia" w:ascii="仿宋_GB2312" w:hAnsi="仿宋_GB2312" w:eastAsia="仿宋_GB2312" w:cs="仿宋_GB2312"/>
          <w:sz w:val="32"/>
          <w:szCs w:val="32"/>
        </w:rPr>
        <w:t>元/平方米）,增价幅度为人民币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八、本次网上挂牌出让活动有关时间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网上挂牌时间为10个工作日，不包括法定节假日。具体如下：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（一）网上挂牌起始时间：2020年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（二）网上挂牌截止时间：2020年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日10时。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（三）网上挂牌交纳保证金截止时间：2020年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（四）网上挂牌报价时间：网上挂牌起止时间内。</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1、《惠州市国有建设用地使用权和矿业权电子挂牌交易规则》；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2、《惠州市国有建设用地使用权网上挂牌交易操作说明》；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3、网上挂牌出让公告；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4、挂牌出让地块现状图；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5、惠州市国有建设用地使用权网上挂牌出让须知；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6、竞买申请书（样本）；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7、惠州市公共资源交易中心土地与矿业网上挂牌交易成交通知书（样本）；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8、《国有建设用地使用权出让合同》（以下简称“出让合同”）样本；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10、附件。</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十二、竞买保证金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11</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柒</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捌</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678</w:t>
      </w:r>
      <w:r>
        <w:rPr>
          <w:rFonts w:hint="eastAsia" w:ascii="仿宋_GB2312" w:hAnsi="仿宋_GB2312" w:eastAsia="仿宋_GB2312" w:cs="仿宋_GB2312"/>
          <w:sz w:val="32"/>
          <w:szCs w:val="32"/>
        </w:rPr>
        <w:t>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（四）跨地区或跨行转账的竞买人，需预足资金的在途时间，以免影响竞买人及时取得竞买资格。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（五）竞买保证金到账时间以网上挂牌交易系统颁发《保证金到账通知书》为准。</w:t>
      </w:r>
    </w:p>
    <w:p>
      <w:pPr>
        <w:ind w:left="0" w:leftChars="0" w:firstLine="537" w:firstLineChars="16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（六）竞买保证金开户单位：惠州市公共资源交易中</w:t>
      </w:r>
      <w:r>
        <w:rPr>
          <w:rFonts w:hint="eastAsia" w:ascii="仿宋_GB2312" w:hAnsi="仿宋_GB2312" w:eastAsia="仿宋_GB2312" w:cs="仿宋_GB2312"/>
          <w:sz w:val="32"/>
          <w:szCs w:val="32"/>
          <w:lang w:val="en-US" w:eastAsia="zh-CN"/>
        </w:rPr>
        <w:t>心</w:t>
      </w:r>
    </w:p>
    <w:p>
      <w:pPr>
        <w:ind w:left="0" w:leftChars="0" w:firstLine="537" w:firstLineChars="16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（七）开户银行：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1、中国建设银行惠州广场支行。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3、中国工商银行股份有限公司惠州富力国际中心支行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5、中信银行股份有限公司惠州分行。(备注:中信银行股份有限公司惠州分行本行转帐须到银行柜面办理)。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6、惠州市农村商业银行股份有限公司惠城支行。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7、交通银行惠州分行。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中国光大银行股份有限公司惠州分行。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（八）保证金账号：网上挂牌交易系统随机产生子账号。</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十三、网上报价规则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（一）本次网上挂牌以增价方式进行报价，每次加价幅度为本须知规定增价幅度的整数倍。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（二）竞买人的首次报价不低于起始价，此后的竞买人报价须高于报价当时的最新网上挂牌价格，并以增价幅度的整数倍加价。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（三）竞买人通过网上挂牌交易提交的报价一经报出，不得撤回。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（五）在报价期内，竞买人必须进行一次有效报价，才能参加网上限时竞价。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（六）竞买人报价有下列情形之一的，为无效报价：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1、报价未在网上挂牌期限内收到的。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2、报价因竞买人网络故障未在网上挂牌报价期限内收到的。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3、报价不符合报价规则的。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4、报价低于网上挂牌起始价的。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十四、系统操作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本中心网上挂牌交易系统</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十五、网上挂牌程序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（一）公布网上挂牌信息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（二）申请竞买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（三）交纳保证金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1、网上挂牌交易从网上挂牌起始时间起开始接受报价。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2、办理好数字证书、按时足额交付竞买保证金并经网上挂牌交易系统确认的竞买人通过网上挂牌交易系统进行报价。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3、网上挂牌交易系统对符合规定的报价予以确认，并更新显示当前报价。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4、网上挂牌交易系统继续接受新的报价。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5、网上挂牌报价规则见《须知》第十三条。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网上挂牌截止由网上挂牌交易系统自动确定。在公告规定的网上挂牌截止时间，网上挂牌交易系统将显示最高报价，并询问竞买人是否愿意继续竞价（限时竞价）。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1、网上挂牌交易系统将在网上挂牌截止时间自动确定网上挂牌截止。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2、网上挂牌交易系统显示最高报价，并询问竞买人是否愿意继续竞价。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4、有竞买人表示愿意继续竞价的，网上挂牌交易系统自动进入网上限时竞价程序。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5、经网上挂牌交易系统询问完毕后，没有竞买人表示愿意继续竞价的，网上挂牌交易系统按下列规定确定网上挂牌结果：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（1）最高报价高于或等于起始价的，网上挂牌交易系统显示网上挂牌成交，最高报价的出价人为竞得人。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（2）无人应价的，网上挂牌交易显示网上挂牌不成交。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2、5分钟限时竞价内没有新的报价，网上挂牌交易系统将自动关闭报价通道，当前最高报价为最终报价，网上挂牌交易系统确认最高报价者为竞得人。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3、在网上限时竞价中无人报价的，以网上挂牌截止时出价最高者为竞得人，但低于网上挂牌交易底价者除外。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1、网上挂牌交易结束后，竞得人应当自行下载打印《竞买申请书》、《竞价结果通知书》并盖章。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2、竞得人应当在网上挂牌交易结果公布之日起5个工作日内持下列有关纸质材料到本中心进行资格审查并签订《成交确认书》：</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（4）转帐凭证复印件（加盖公章）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（5）申请竞买人有效的《营业执照》副本及《组织机构代码证》副本复印件（加盖公章）（二份）。</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pStyle w:val="2"/>
        <w:ind w:left="0" w:leftChars="0" w:firstLine="640" w:firstLineChars="200"/>
        <w:rPr>
          <w:rFonts w:hint="eastAsia" w:eastAsia="仿宋_GB231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）《惠城区工业项目土地建设和使用监管协议书》</w:t>
      </w:r>
      <w:r>
        <w:rPr>
          <w:rFonts w:hint="eastAsia" w:ascii="仿宋_GB2312" w:hAnsi="仿宋_GB2312" w:eastAsia="仿宋_GB2312" w:cs="仿宋_GB2312"/>
          <w:sz w:val="32"/>
          <w:szCs w:val="32"/>
          <w:lang w:eastAsia="zh-CN"/>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）竞买人须提交惠城区发改局（或惠州市发改局）出具的与该宗地块规划确定的产业类型一致的优先发展产业项目文件。</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竞买人如需保存上述竞买报名资料应自留备份，本中心不予退还。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上述文件中，申请书必须用中文书写，其他文件可以使用其它语言，但必须附中文译本，所有文件的解释以中文译本为准。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（八）网上挂牌出让结果公示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十六、注意事项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土地网上挂牌实行资格后审，不能通过资格审查的竞得人无效，不予签订《惠州市国有建设用地使用权电子挂牌交易成交确认书》（以下简称《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（五）确定竞得人后，竞得人持《惠州市公共资源交易中心网上挂牌竞价结果通知书》以及参加本宗地网上挂牌交易的所须资料到惠州市公共资源交易中心土地矿业交易部申办相关成交确认手续。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《惠州市公共资源交易中心网上挂牌竞价结果通知书》对挂牌人和竞得人具有法律效力，挂牌人改变网上挂牌结果的，或者竞得人放弃竞得宗地的，应当承担相应法律责任。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得人缴纳的竞买保证金，网上挂牌成交后，竞得人应到我中心办理保证金转付地价款手续(保证金中按成交价款的20%转作受让地块的定金）。未竞得人缴交的竞买保证金，在网上挂牌活动结束后5个工作日内，带齐相关资料（《保证金到帐通知书》及进账单等）到本中心退还保证金，不计利息。</w:t>
      </w:r>
    </w:p>
    <w:p>
      <w:pPr>
        <w:ind w:firstLine="640" w:firstLineChars="200"/>
        <w:rPr>
          <w:rFonts w:ascii="Calibri" w:eastAsia="宋体"/>
          <w:kern w:val="0"/>
          <w:sz w:val="24"/>
        </w:rPr>
      </w:pPr>
      <w:r>
        <w:rPr>
          <w:rFonts w:hint="eastAsia" w:ascii="仿宋_GB2312" w:eastAsia="仿宋_GB2312"/>
          <w:sz w:val="32"/>
          <w:szCs w:val="32"/>
        </w:rPr>
        <w:t>保证金少于成交价20%的，不足部分由竞得人在签订《成交确认书》之日起5个工作日内付清。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竞得人签订《国有建设用地使用权网上挂牌成交确认书》后，竞买保证金抵作土地出让价款，成交价款余款在签订《出让合同》之日起30日内一次性付清，逾期未缴纳的，按合同有关规定处理。《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避免网络延迟问题，竞买人首次出价应在网上挂牌截止前10分钟出价，以防止网上挂牌交易无法及时接收到报价的情况发生。5分钟倒计时竞价期间，请不要在最后时段报价，以防网络延时造成报价提交不成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（九）有下列情形之一的，本中心将暂停、中止或终止网上挂牌交易活动：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1、网上挂牌交易系统受到网络恶意入侵的。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2、因网上挂牌交易系统遭受破坏或发生电力、网络故障等不可抗力因素，导致网上挂牌交易系统不能正常运行的。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3、网上挂牌交易委托人根据有关规定要求暂停、中止或终止网上挂牌交易活动的。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4、涉及土地或矿业权纠纷，不能及时解决的。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5、司法机关要求暂停、中止或终止网上挂牌交易活动的。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6、市自然资源管理部门认为应当暂停、中止或终止网上挂牌交易活动的其他情形。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（十）网上挂牌成交价即为该幅地块的总地价款，竞得人除支付成交价款外，还需支付契税、印花税等有关费用。</w:t>
      </w:r>
    </w:p>
    <w:p>
      <w:pPr>
        <w:ind w:firstLine="640" w:firstLineChars="200"/>
      </w:pPr>
      <w:r>
        <w:rPr>
          <w:rFonts w:hint="eastAsia" w:ascii="仿宋_GB2312" w:hAnsi="仿宋_GB2312" w:eastAsia="仿宋_GB2312" w:cs="仿宋_GB2312"/>
          <w:sz w:val="32"/>
          <w:szCs w:val="32"/>
        </w:rPr>
        <w:t>（十一）该宗地使用网上挂牌方式出让，</w:t>
      </w:r>
      <w:r>
        <w:rPr>
          <w:rFonts w:hint="eastAsia" w:ascii="仿宋_GB2312" w:eastAsia="仿宋_GB2312"/>
          <w:sz w:val="32"/>
          <w:szCs w:val="32"/>
        </w:rPr>
        <w:t>交易全程适用《惠州市国有建设用地使用权和矿业权电子挂牌交易规则》</w:t>
      </w:r>
      <w:r>
        <w:rPr>
          <w:rFonts w:hint="eastAsia" w:ascii="仿宋_GB2312" w:hAnsi="仿宋_GB2312" w:eastAsia="仿宋_GB2312" w:cs="仿宋_GB2312"/>
          <w:sz w:val="32"/>
          <w:szCs w:val="32"/>
        </w:rPr>
        <w:t>（惠府〔2014〕167号）。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（十二）竞得人与出让人签订《出让合同》后，应当按出让合同约定支付网上挂牌成交价款。竞得人付清全部网上挂牌成交价款后，依法申请办理土地登记，领取《不动产权证书》。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（十三）网上挂牌不成交的，应当按规定由委托方和本中心重新组织出让。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（十四）本中心认为需要对网上挂牌出让须知、公告及相关交易文件作出修改、补充时，将通过原公告发布渠道公告，不作另行通知。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（十五）本须知及公告涉及的时间期限，以惠州市公共资源交易中心土地与矿业网上挂牌交易系统服务器的时间为准。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（十六）竞买人在本次网上挂牌交易过程中与惠州市公共资源交易中心发生任何争议，由双方协商。协商不成的可依法提交惠州市仲裁机构仲裁解决。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（十七）本中心对本《须知》有解释权。未尽事宜依照《招标拍卖挂牌出让国有土地使用权规范》办理。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惠州市公共资源交易中心  </w:t>
      </w:r>
    </w:p>
    <w:p>
      <w:pPr>
        <w:wordWrap w:val="0"/>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81659"/>
      <w:docPartObj>
        <w:docPartGallery w:val="autotext"/>
      </w:docPartObj>
    </w:sdtPr>
    <w:sdtContent>
      <w:p>
        <w:pPr>
          <w:pStyle w:val="4"/>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EB677C"/>
    <w:rsid w:val="0002672C"/>
    <w:rsid w:val="000302E4"/>
    <w:rsid w:val="00031CCA"/>
    <w:rsid w:val="00050DF1"/>
    <w:rsid w:val="000752D8"/>
    <w:rsid w:val="00084498"/>
    <w:rsid w:val="000855C0"/>
    <w:rsid w:val="000929F7"/>
    <w:rsid w:val="000A42CD"/>
    <w:rsid w:val="000A65CE"/>
    <w:rsid w:val="000C5AEA"/>
    <w:rsid w:val="000E6C20"/>
    <w:rsid w:val="000F397F"/>
    <w:rsid w:val="00104D0E"/>
    <w:rsid w:val="0011092C"/>
    <w:rsid w:val="00111FAC"/>
    <w:rsid w:val="001204DF"/>
    <w:rsid w:val="001656EA"/>
    <w:rsid w:val="00187389"/>
    <w:rsid w:val="00192383"/>
    <w:rsid w:val="00195C5B"/>
    <w:rsid w:val="001C073A"/>
    <w:rsid w:val="001C2329"/>
    <w:rsid w:val="001E7828"/>
    <w:rsid w:val="00212B62"/>
    <w:rsid w:val="00217790"/>
    <w:rsid w:val="00250D4E"/>
    <w:rsid w:val="002778C7"/>
    <w:rsid w:val="002A741E"/>
    <w:rsid w:val="002D00AC"/>
    <w:rsid w:val="002F060E"/>
    <w:rsid w:val="002F2591"/>
    <w:rsid w:val="0030191F"/>
    <w:rsid w:val="00305BDD"/>
    <w:rsid w:val="00310DFA"/>
    <w:rsid w:val="00313870"/>
    <w:rsid w:val="0032160A"/>
    <w:rsid w:val="00326B6D"/>
    <w:rsid w:val="00327A98"/>
    <w:rsid w:val="00335A17"/>
    <w:rsid w:val="00363E41"/>
    <w:rsid w:val="00392954"/>
    <w:rsid w:val="003A7D19"/>
    <w:rsid w:val="0040773F"/>
    <w:rsid w:val="00445607"/>
    <w:rsid w:val="004919C6"/>
    <w:rsid w:val="00492998"/>
    <w:rsid w:val="004A77B5"/>
    <w:rsid w:val="004B265D"/>
    <w:rsid w:val="004C1427"/>
    <w:rsid w:val="00562228"/>
    <w:rsid w:val="00587C1C"/>
    <w:rsid w:val="005B6B94"/>
    <w:rsid w:val="005E4B69"/>
    <w:rsid w:val="00615740"/>
    <w:rsid w:val="006B13D9"/>
    <w:rsid w:val="006B36E6"/>
    <w:rsid w:val="006B4DCB"/>
    <w:rsid w:val="006E2333"/>
    <w:rsid w:val="006F3CE4"/>
    <w:rsid w:val="00752D3D"/>
    <w:rsid w:val="007622DB"/>
    <w:rsid w:val="00770058"/>
    <w:rsid w:val="00773904"/>
    <w:rsid w:val="007A1844"/>
    <w:rsid w:val="007F05F1"/>
    <w:rsid w:val="00803BC3"/>
    <w:rsid w:val="00826D3A"/>
    <w:rsid w:val="00831620"/>
    <w:rsid w:val="0084509F"/>
    <w:rsid w:val="008475AE"/>
    <w:rsid w:val="008534B6"/>
    <w:rsid w:val="008709FA"/>
    <w:rsid w:val="00874031"/>
    <w:rsid w:val="008A764B"/>
    <w:rsid w:val="008C09CA"/>
    <w:rsid w:val="008C7B6B"/>
    <w:rsid w:val="008D7A86"/>
    <w:rsid w:val="00902BED"/>
    <w:rsid w:val="00933481"/>
    <w:rsid w:val="00946A82"/>
    <w:rsid w:val="0095754F"/>
    <w:rsid w:val="00957F2E"/>
    <w:rsid w:val="009A0E85"/>
    <w:rsid w:val="009A28DD"/>
    <w:rsid w:val="009A4204"/>
    <w:rsid w:val="00A45ECD"/>
    <w:rsid w:val="00A51D7C"/>
    <w:rsid w:val="00A814F3"/>
    <w:rsid w:val="00AB60A4"/>
    <w:rsid w:val="00AD14AE"/>
    <w:rsid w:val="00AF6441"/>
    <w:rsid w:val="00B117FE"/>
    <w:rsid w:val="00B11C63"/>
    <w:rsid w:val="00B40DA1"/>
    <w:rsid w:val="00B54E2E"/>
    <w:rsid w:val="00B8145D"/>
    <w:rsid w:val="00B83114"/>
    <w:rsid w:val="00B91855"/>
    <w:rsid w:val="00B97217"/>
    <w:rsid w:val="00BA61A4"/>
    <w:rsid w:val="00BC08A0"/>
    <w:rsid w:val="00C12E89"/>
    <w:rsid w:val="00C61F75"/>
    <w:rsid w:val="00C76EFB"/>
    <w:rsid w:val="00C77173"/>
    <w:rsid w:val="00C93D8B"/>
    <w:rsid w:val="00C968C7"/>
    <w:rsid w:val="00CA2DA5"/>
    <w:rsid w:val="00CB604F"/>
    <w:rsid w:val="00CC75DA"/>
    <w:rsid w:val="00CE5351"/>
    <w:rsid w:val="00CE717B"/>
    <w:rsid w:val="00CF0C5C"/>
    <w:rsid w:val="00CF43E2"/>
    <w:rsid w:val="00D20F96"/>
    <w:rsid w:val="00D33098"/>
    <w:rsid w:val="00D41524"/>
    <w:rsid w:val="00D47268"/>
    <w:rsid w:val="00DA199E"/>
    <w:rsid w:val="00DC7D06"/>
    <w:rsid w:val="00E233D0"/>
    <w:rsid w:val="00E5110D"/>
    <w:rsid w:val="00E93AE8"/>
    <w:rsid w:val="00EC3CE4"/>
    <w:rsid w:val="00EC5DE6"/>
    <w:rsid w:val="00F11CF0"/>
    <w:rsid w:val="00F13D2D"/>
    <w:rsid w:val="00F24EAE"/>
    <w:rsid w:val="00F2671A"/>
    <w:rsid w:val="00FA4D54"/>
    <w:rsid w:val="00FE5BDE"/>
    <w:rsid w:val="00FF52AB"/>
    <w:rsid w:val="026A42ED"/>
    <w:rsid w:val="0377212F"/>
    <w:rsid w:val="047E4A7C"/>
    <w:rsid w:val="082A509A"/>
    <w:rsid w:val="08CC04B9"/>
    <w:rsid w:val="0A650DF3"/>
    <w:rsid w:val="0A9146C8"/>
    <w:rsid w:val="0B7C08B1"/>
    <w:rsid w:val="0E992F33"/>
    <w:rsid w:val="0FC14B9A"/>
    <w:rsid w:val="0FED08F4"/>
    <w:rsid w:val="13F90EA8"/>
    <w:rsid w:val="14EB677C"/>
    <w:rsid w:val="16991540"/>
    <w:rsid w:val="17311417"/>
    <w:rsid w:val="18510C91"/>
    <w:rsid w:val="1A9709DD"/>
    <w:rsid w:val="1AEE2345"/>
    <w:rsid w:val="1B8D1202"/>
    <w:rsid w:val="1BA77990"/>
    <w:rsid w:val="1CC405AD"/>
    <w:rsid w:val="1E6D6470"/>
    <w:rsid w:val="1F892EAA"/>
    <w:rsid w:val="2020255F"/>
    <w:rsid w:val="23D15B78"/>
    <w:rsid w:val="243F5116"/>
    <w:rsid w:val="248C1BCA"/>
    <w:rsid w:val="26D60318"/>
    <w:rsid w:val="26DE56F6"/>
    <w:rsid w:val="27ED5E1D"/>
    <w:rsid w:val="2A5B6A0C"/>
    <w:rsid w:val="2B070E2E"/>
    <w:rsid w:val="2B8260F0"/>
    <w:rsid w:val="2ECA6B03"/>
    <w:rsid w:val="2EFF4F87"/>
    <w:rsid w:val="304B3BE3"/>
    <w:rsid w:val="30E22562"/>
    <w:rsid w:val="316A656E"/>
    <w:rsid w:val="31F23704"/>
    <w:rsid w:val="359D0CEF"/>
    <w:rsid w:val="36A0762A"/>
    <w:rsid w:val="39E4612C"/>
    <w:rsid w:val="3C707844"/>
    <w:rsid w:val="3C803B24"/>
    <w:rsid w:val="3C995B83"/>
    <w:rsid w:val="3EC40700"/>
    <w:rsid w:val="3F9E57C9"/>
    <w:rsid w:val="3FD02C50"/>
    <w:rsid w:val="42B84DD4"/>
    <w:rsid w:val="44767DC8"/>
    <w:rsid w:val="46EA33FE"/>
    <w:rsid w:val="47635F9D"/>
    <w:rsid w:val="49B75817"/>
    <w:rsid w:val="4DD142C4"/>
    <w:rsid w:val="4F0140DA"/>
    <w:rsid w:val="4F0922AF"/>
    <w:rsid w:val="4F60034F"/>
    <w:rsid w:val="512D0E67"/>
    <w:rsid w:val="51714726"/>
    <w:rsid w:val="53C61D5C"/>
    <w:rsid w:val="54BB1214"/>
    <w:rsid w:val="54EF57E1"/>
    <w:rsid w:val="554774A9"/>
    <w:rsid w:val="554A25F8"/>
    <w:rsid w:val="56435259"/>
    <w:rsid w:val="56866DDC"/>
    <w:rsid w:val="5A354886"/>
    <w:rsid w:val="5B6C68BC"/>
    <w:rsid w:val="5D00395E"/>
    <w:rsid w:val="5D2D65B1"/>
    <w:rsid w:val="5DC51E85"/>
    <w:rsid w:val="5E863559"/>
    <w:rsid w:val="60E50A21"/>
    <w:rsid w:val="641A082A"/>
    <w:rsid w:val="674C1FE1"/>
    <w:rsid w:val="67A327AC"/>
    <w:rsid w:val="69353F2C"/>
    <w:rsid w:val="69866A64"/>
    <w:rsid w:val="69F51B6E"/>
    <w:rsid w:val="6A27187C"/>
    <w:rsid w:val="6B1A192E"/>
    <w:rsid w:val="6BD979AB"/>
    <w:rsid w:val="6BDC7DA2"/>
    <w:rsid w:val="6C935578"/>
    <w:rsid w:val="6ED55099"/>
    <w:rsid w:val="6F1F3CC6"/>
    <w:rsid w:val="735B1944"/>
    <w:rsid w:val="77044612"/>
    <w:rsid w:val="79594638"/>
    <w:rsid w:val="79E66D1D"/>
    <w:rsid w:val="7ACF50E2"/>
    <w:rsid w:val="7C985DBB"/>
    <w:rsid w:val="7D93374F"/>
    <w:rsid w:val="7E683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qFormat/>
    <w:uiPriority w:val="0"/>
    <w:rPr>
      <w:color w:val="696969"/>
      <w:u w:val="single"/>
    </w:rPr>
  </w:style>
  <w:style w:type="character" w:styleId="8">
    <w:name w:val="Hyperlink"/>
    <w:basedOn w:val="6"/>
    <w:qFormat/>
    <w:uiPriority w:val="0"/>
    <w:rPr>
      <w:color w:val="696969"/>
      <w:u w:val="single"/>
    </w:rPr>
  </w:style>
  <w:style w:type="character" w:customStyle="1" w:styleId="10">
    <w:name w:val="页脚 Char"/>
    <w:basedOn w:val="6"/>
    <w:link w:val="4"/>
    <w:qFormat/>
    <w:uiPriority w:val="99"/>
    <w:rPr>
      <w:rFonts w:asciiTheme="minorHAnsi" w:hAnsiTheme="minorHAnsi" w:eastAsiaTheme="minorEastAsia" w:cstheme="minorBidi"/>
      <w:kern w:val="2"/>
      <w:sz w:val="18"/>
      <w:szCs w:val="24"/>
    </w:rPr>
  </w:style>
  <w:style w:type="character" w:customStyle="1" w:styleId="11">
    <w:name w:val="t-link52"/>
    <w:basedOn w:val="6"/>
    <w:qFormat/>
    <w:uiPriority w:val="0"/>
  </w:style>
  <w:style w:type="character" w:customStyle="1" w:styleId="12">
    <w:name w:val="t-in2"/>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8305-1A45-4453-BE2D-41A762C36762}">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20</Pages>
  <Words>1347</Words>
  <Characters>7678</Characters>
  <Lines>63</Lines>
  <Paragraphs>18</Paragraphs>
  <TotalTime>0</TotalTime>
  <ScaleCrop>false</ScaleCrop>
  <LinksUpToDate>false</LinksUpToDate>
  <CharactersWithSpaces>9007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2019-01-11T01:30:00Z</dcterms:created>
  <dc:creator>刘智东</dc:creator>
  <cp:lastModifiedBy>黄春枚</cp:lastModifiedBy>
  <cp:lastPrinted>2020-11-06T07:08:00Z</cp:lastPrinted>
  <dcterms:modified xsi:type="dcterms:W3CDTF">2020-12-09T08:06:12Z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