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hAnsi="华文中宋" w:eastAsia="方正小标宋_GBK"/>
          <w:b/>
          <w:bCs/>
          <w:spacing w:val="3"/>
          <w:sz w:val="44"/>
          <w:szCs w:val="44"/>
        </w:rPr>
      </w:pPr>
      <w:r>
        <w:rPr>
          <w:rFonts w:hint="eastAsia" w:ascii="方正小标宋_GBK" w:hAnsi="华文中宋" w:eastAsia="方正小标宋_GBK"/>
          <w:b/>
          <w:bCs/>
          <w:spacing w:val="3"/>
          <w:sz w:val="44"/>
          <w:szCs w:val="44"/>
        </w:rPr>
        <w:t>惠州市国有建设用地使用权</w:t>
      </w:r>
    </w:p>
    <w:p>
      <w:pPr>
        <w:tabs>
          <w:tab w:val="left" w:pos="11340"/>
        </w:tabs>
        <w:spacing w:line="600" w:lineRule="exact"/>
        <w:jc w:val="center"/>
        <w:rPr>
          <w:rFonts w:ascii="方正小标宋_GBK" w:eastAsia="方正小标宋_GBK"/>
          <w:b/>
          <w:bCs/>
          <w:spacing w:val="3"/>
          <w:sz w:val="48"/>
        </w:rPr>
      </w:pPr>
      <w:r>
        <w:rPr>
          <w:rFonts w:hint="eastAsia" w:ascii="方正小标宋_GBK" w:hAnsi="华文中宋" w:eastAsia="方正小标宋_GBK"/>
          <w:b/>
          <w:bCs/>
          <w:spacing w:val="3"/>
          <w:sz w:val="44"/>
          <w:szCs w:val="44"/>
        </w:rPr>
        <w:t>网上挂牌</w:t>
      </w:r>
      <w:r>
        <w:rPr>
          <w:rFonts w:hint="eastAsia" w:ascii="方正小标宋_GBK" w:hAnsi="华文中宋" w:eastAsia="方正小标宋_GBK"/>
          <w:b/>
          <w:bCs/>
          <w:sz w:val="44"/>
          <w:szCs w:val="44"/>
        </w:rPr>
        <w:t>出让须知</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bookmarkStart w:id="1" w:name="100"/>
      <w:bookmarkEnd w:id="1"/>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（一）挂牌地块编号：GP20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）地块位置：惠城区马安新群上寮</w:t>
      </w:r>
      <w:bookmarkStart w:id="8" w:name="_GoBack"/>
      <w:bookmarkEnd w:id="8"/>
      <w:r>
        <w:rPr>
          <w:rFonts w:hint="eastAsia" w:ascii="仿宋_GB2312" w:hAnsi="仿宋_GB2312" w:eastAsia="仿宋_GB2312" w:cs="仿宋_GB2312"/>
          <w:sz w:val="32"/>
          <w:szCs w:val="32"/>
          <w:lang w:val="en-US" w:eastAsia="zh-CN"/>
        </w:rPr>
        <w:t>JD10-01、JD10-03地块;</w:t>
      </w:r>
    </w:p>
    <w:p>
      <w:pPr>
        <w:tabs>
          <w:tab w:val="left" w:pos="3388"/>
        </w:tabs>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（三）规划编号：JD10-01、JD10-03;</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（四）地块范围：平面界址点以</w:t>
      </w:r>
      <w:r>
        <w:rPr>
          <w:rFonts w:hint="eastAsia" w:ascii="仿宋_GB2312" w:hAnsi="仿宋_GB2312" w:eastAsia="仿宋_GB2312" w:cs="仿宋_GB2312"/>
          <w:sz w:val="32"/>
          <w:szCs w:val="32"/>
          <w:lang w:val="en-US" w:eastAsia="zh-CN"/>
        </w:rPr>
        <w:t>宗地图为准</w:t>
      </w:r>
      <w:r>
        <w:rPr>
          <w:rFonts w:hint="eastAsia" w:ascii="仿宋_GB2312" w:hAnsi="仿宋_GB2312" w:eastAsia="仿宋_GB2312" w:cs="仿宋_GB2312"/>
          <w:sz w:val="32"/>
          <w:szCs w:val="32"/>
        </w:rPr>
        <w:t>，宗地竖向界限以《</w:t>
      </w:r>
      <w:r>
        <w:rPr>
          <w:rFonts w:hint="eastAsia" w:ascii="仿宋_GB2312" w:hAnsi="仿宋_GB2312" w:eastAsia="仿宋_GB2312" w:cs="仿宋_GB2312"/>
          <w:sz w:val="32"/>
          <w:szCs w:val="32"/>
          <w:lang w:val="en-US" w:eastAsia="zh-CN"/>
        </w:rPr>
        <w:t>规划设计</w:t>
      </w:r>
      <w:r>
        <w:rPr>
          <w:rFonts w:hint="eastAsia" w:ascii="仿宋_GB2312" w:hAnsi="仿宋_GB2312" w:eastAsia="仿宋_GB2312" w:cs="仿宋_GB2312"/>
          <w:sz w:val="32"/>
          <w:szCs w:val="32"/>
        </w:rPr>
        <w:t>条件</w:t>
      </w:r>
      <w:r>
        <w:rPr>
          <w:rFonts w:hint="eastAsia" w:ascii="仿宋_GB2312" w:hAnsi="仿宋_GB2312" w:eastAsia="仿宋_GB2312" w:cs="仿宋_GB2312"/>
          <w:sz w:val="32"/>
          <w:szCs w:val="32"/>
          <w:lang w:val="en-US" w:eastAsia="zh-CN"/>
        </w:rPr>
        <w:t>告知书</w:t>
      </w:r>
      <w:r>
        <w:rPr>
          <w:rFonts w:hint="eastAsia" w:ascii="仿宋_GB2312" w:hAnsi="仿宋_GB2312" w:eastAsia="仿宋_GB2312" w:cs="仿宋_GB2312"/>
          <w:sz w:val="32"/>
          <w:szCs w:val="32"/>
        </w:rPr>
        <w:t>(案卷编号:</w:t>
      </w:r>
      <w:r>
        <w:rPr>
          <w:rFonts w:hint="default" w:ascii="仿宋_GB2312" w:hAnsi="仿宋_GB2312" w:eastAsia="仿宋_GB2312" w:cs="仿宋_GB2312"/>
          <w:sz w:val="32"/>
          <w:szCs w:val="32"/>
          <w:lang w:eastAsia="zh-CN"/>
        </w:rPr>
        <w:t>PB20</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10010</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》（以下简称《告知书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规定为准；</w:t>
      </w:r>
    </w:p>
    <w:p>
      <w:pPr>
        <w:tabs>
          <w:tab w:val="left" w:pos="840"/>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宗地使用权面积为：JD10-01地块37626.55平方米；JD10-03地块35004.73平方米；</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（六）计算指标用地面积为：JD10-01地块48153.06平方米；JD10-03地块48498.28平方米；</w:t>
      </w:r>
    </w:p>
    <w:p>
      <w:pPr>
        <w:tabs>
          <w:tab w:val="left" w:pos="840"/>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（七）计容积率建筑面积为：JD10-01地块≤144459平方米（商业建筑面积的比例≤5%，配套设施的建筑面积＞6330平方米）；JD10-03地块≤145494平方米（其中商业建筑的比例面积</w:t>
      </w:r>
      <w:r>
        <w:rPr>
          <w:rFonts w:hint="default" w:ascii="Times New Roman" w:hAnsi="Times New Roman" w:eastAsia="仿宋_GB2312" w:cs="Times New Roman"/>
          <w:b w:val="0"/>
          <w:bCs/>
          <w:color w:val="000000"/>
          <w:sz w:val="28"/>
          <w:szCs w:val="28"/>
          <w:highlight w:val="none"/>
          <w:lang w:val="en-US" w:eastAsia="zh-CN"/>
        </w:rPr>
        <w:t>＜</w:t>
      </w:r>
      <w:r>
        <w:rPr>
          <w:rFonts w:hint="eastAsia" w:ascii="仿宋_GB2312" w:hAnsi="仿宋_GB2312" w:eastAsia="仿宋_GB2312" w:cs="仿宋_GB2312"/>
          <w:sz w:val="32"/>
          <w:szCs w:val="32"/>
          <w:lang w:val="en-US" w:eastAsia="zh-CN"/>
        </w:rPr>
        <w:t>20%（不得建设服务型公寓），住宅建筑面积</w:t>
      </w:r>
      <w:r>
        <w:rPr>
          <w:rFonts w:hint="default" w:ascii="Times New Roman" w:hAnsi="Times New Roman" w:eastAsia="仿宋_GB2312" w:cs="Times New Roman"/>
          <w:b w:val="0"/>
          <w:bCs/>
          <w:color w:val="000000"/>
          <w:sz w:val="28"/>
          <w:szCs w:val="28"/>
          <w:highlight w:val="none"/>
          <w:lang w:val="en-US" w:eastAsia="zh-CN"/>
        </w:rPr>
        <w:t>＜</w:t>
      </w:r>
      <w:r>
        <w:rPr>
          <w:rFonts w:hint="eastAsia" w:ascii="仿宋_GB2312" w:hAnsi="仿宋_GB2312" w:eastAsia="仿宋_GB2312" w:cs="仿宋_GB2312"/>
          <w:sz w:val="32"/>
          <w:szCs w:val="32"/>
          <w:lang w:val="en-US" w:eastAsia="zh-CN"/>
        </w:rPr>
        <w:t>116395平方米，配套设施的建筑面积＞4800平方米）；</w:t>
      </w:r>
    </w:p>
    <w:p>
      <w:pPr>
        <w:tabs>
          <w:tab w:val="left" w:pos="840"/>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（八）容积率为：JD10-01地块≤3.0、JD10-03地块≤3.0；</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（九）建筑密度为：JD10-01地块≤22％、JD10-03地块≤22％；</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十）绿地率为：JD10-01地块≥35％、JD10-03地块≥35％；</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机动车停车位（</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JD10-01住宅和商业每100㎡计容积率建筑面积≥1个；幼儿园每100㎡计容积率建筑面积≥0.3个、JD10-03住宅和商业每100㎡计容建筑面积≥1个；</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）土地用途为：</w:t>
      </w:r>
      <w:r>
        <w:rPr>
          <w:rFonts w:hint="eastAsia" w:ascii="仿宋_GB2312" w:hAnsi="仿宋_GB2312" w:eastAsia="仿宋_GB2312" w:cs="仿宋_GB2312"/>
          <w:sz w:val="32"/>
          <w:szCs w:val="32"/>
          <w:lang w:val="en-US" w:eastAsia="zh-CN"/>
        </w:rPr>
        <w:t>城镇住宅及商服</w:t>
      </w:r>
      <w:r>
        <w:rPr>
          <w:rFonts w:hint="eastAsia" w:ascii="仿宋_GB2312" w:hAnsi="仿宋_GB2312" w:eastAsia="仿宋_GB2312" w:cs="仿宋_GB2312"/>
          <w:sz w:val="32"/>
          <w:szCs w:val="32"/>
        </w:rPr>
        <w:t>用地；</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）土地使用权出让年期为：</w:t>
      </w:r>
      <w:r>
        <w:rPr>
          <w:rFonts w:hint="eastAsia" w:ascii="仿宋_GB2312" w:hAnsi="仿宋_GB2312" w:eastAsia="仿宋_GB2312" w:cs="仿宋_GB2312"/>
          <w:sz w:val="32"/>
          <w:szCs w:val="32"/>
          <w:lang w:val="en-US" w:eastAsia="zh-CN"/>
        </w:rPr>
        <w:t>城镇住宅用地70年、商服用地40年</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）适建性：</w:t>
      </w:r>
      <w:r>
        <w:rPr>
          <w:rFonts w:hint="eastAsia" w:ascii="仿宋_GB2312" w:hAnsi="仿宋_GB2312" w:eastAsia="仿宋_GB2312" w:cs="仿宋_GB2312"/>
          <w:sz w:val="32"/>
          <w:szCs w:val="32"/>
          <w:lang w:val="en-US" w:eastAsia="zh-CN"/>
        </w:rPr>
        <w:t>JD10-01住宅、商业、及幼儿园配套设施、JD10-03住宅、商业及配套设施</w:t>
      </w:r>
      <w:r>
        <w:rPr>
          <w:rFonts w:hint="eastAsia" w:ascii="仿宋_GB2312" w:hAnsi="仿宋_GB2312" w:eastAsia="仿宋_GB2312" w:cs="仿宋_GB2312"/>
          <w:sz w:val="32"/>
          <w:szCs w:val="32"/>
        </w:rPr>
        <w:t>；</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 动工及竣工时间：该地块的动工时间为地块交付之日起一年内，竣工时间为动工之日起三年内（因不可抗拒因素除外）；</w:t>
      </w:r>
    </w:p>
    <w:p>
      <w:pPr>
        <w:tabs>
          <w:tab w:val="left" w:pos="3388"/>
        </w:tabs>
        <w:spacing w:line="560" w:lineRule="exact"/>
        <w:jc w:val="left"/>
        <w:rPr>
          <w:rFonts w:hint="eastAsia" w:ascii="Times New Roman" w:hAnsi="Times New Roman" w:eastAsia="仿宋_GB2312"/>
          <w:sz w:val="30"/>
          <w:szCs w:val="30"/>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）竞得人在缴清地价款后一个月内办理交地手续，凭《交地确认书》</w:t>
      </w:r>
      <w:r>
        <w:rPr>
          <w:rFonts w:hint="eastAsia" w:ascii="仿宋_GB2312" w:hAnsi="仿宋_GB2312" w:eastAsia="仿宋_GB2312" w:cs="仿宋_GB2312"/>
          <w:sz w:val="32"/>
          <w:szCs w:val="32"/>
          <w:lang w:eastAsia="zh-CN"/>
        </w:rPr>
        <w:t>、《出让合同》和地价款交款凭证等申请办理土地初始登记，领取</w:t>
      </w:r>
      <w:r>
        <w:rPr>
          <w:rFonts w:hint="eastAsia" w:ascii="仿宋_GB2312" w:hAnsi="仿宋_GB2312" w:eastAsia="仿宋_GB2312" w:cs="仿宋_GB2312"/>
          <w:sz w:val="32"/>
          <w:szCs w:val="32"/>
        </w:rPr>
        <w:t xml:space="preserve">《不动产权证书》。 </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_GB2312" w:eastAsia="仿宋_GB2312" w:cs="仿宋_GB2312"/>
          <w:sz w:val="32"/>
          <w:szCs w:val="32"/>
          <w:lang w:val="en-US" w:eastAsia="zh-CN"/>
        </w:rPr>
        <w:t>266500</w:t>
      </w:r>
      <w:r>
        <w:rPr>
          <w:rFonts w:hint="eastAsia" w:ascii="仿宋_GB2312" w:hAnsi="仿宋_GB2312" w:eastAsia="仿宋_GB2312" w:cs="仿宋_GB2312"/>
          <w:sz w:val="32"/>
          <w:szCs w:val="32"/>
        </w:rPr>
        <w:t>万元（含地价,不含地价溢价部分）。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）土地成交价款须以人民币支付,竞得人在签订《出让合同》之日起30日内付清全部成交价款。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eastAsia="zh-CN"/>
        </w:rPr>
        <w:t>（</w:t>
      </w:r>
      <w:r>
        <w:rPr>
          <w:rFonts w:hint="eastAsia" w:eastAsia="仿宋_GB2312" w:cs="Times New Roman"/>
          <w:kern w:val="2"/>
          <w:sz w:val="32"/>
          <w:szCs w:val="32"/>
          <w:lang w:val="en-US" w:eastAsia="zh-CN"/>
        </w:rPr>
        <w:t>三</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该地属政府储备地，没有法律经济纠纷，具备动工开发所必须的基本条件。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（四）</w:t>
      </w:r>
      <w:r>
        <w:rPr>
          <w:rFonts w:hint="default" w:ascii="Times New Roman" w:hAnsi="Times New Roman" w:eastAsia="仿宋_GB2312" w:cs="Times New Roman"/>
          <w:kern w:val="2"/>
          <w:sz w:val="32"/>
          <w:szCs w:val="32"/>
          <w:lang w:val="en-US" w:eastAsia="zh-CN"/>
        </w:rPr>
        <w:t>竞得人需按</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val="en-US" w:eastAsia="zh-CN"/>
        </w:rPr>
        <w:t>规划设计条件告知书</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val="en-US" w:eastAsia="zh-CN"/>
        </w:rPr>
        <w:t>（案卷编号：PB20210010）</w:t>
      </w:r>
      <w:r>
        <w:rPr>
          <w:rFonts w:hint="default" w:ascii="Times New Roman" w:hAnsi="Times New Roman" w:eastAsia="仿宋_GB2312" w:cs="Times New Roman"/>
          <w:kern w:val="2"/>
          <w:sz w:val="32"/>
          <w:szCs w:val="32"/>
          <w:lang w:val="en-US" w:eastAsia="zh-CN"/>
        </w:rPr>
        <w:t>要求配建相关配套设施。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（五）竞得人在用地红线内开发建设必须符合城市规划要求，必须按《规划设计条件告知书》（案卷编号：PB20210010）规划控制指标要求及有关规定进行规划设计。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kern w:val="2"/>
          <w:sz w:val="32"/>
          <w:szCs w:val="32"/>
          <w:highlight w:val="none"/>
          <w:lang w:val="en-US" w:eastAsia="zh-CN"/>
        </w:rPr>
        <w:t>JD10-01地块内配套幼儿园应与JD10-01、03地块同步规划设计、同步建设、同步验收交付使用，如JD10-01、03地块分期建设，该幼儿园应纳入首期工程，在办理用地供地手续时，应将整个地块办理出让手续，在出让合同中明确由JD10-01、03地块使用权者负责按照规划要求和惠城区教育局提出的建设标准完成配套幼儿园建设并无偿移交</w:t>
      </w:r>
      <w:r>
        <w:rPr>
          <w:rFonts w:hint="eastAsia" w:ascii="仿宋_GB2312" w:hAnsi="仿宋_GB2312" w:eastAsia="仿宋_GB2312" w:cs="仿宋_GB2312"/>
          <w:kern w:val="2"/>
          <w:sz w:val="32"/>
          <w:szCs w:val="32"/>
          <w:highlight w:val="none"/>
          <w:lang w:val="en-US" w:eastAsia="zh-CN" w:bidi="ar-SA"/>
        </w:rPr>
        <w:t>惠城区教育局。</w:t>
      </w:r>
      <w:r>
        <w:rPr>
          <w:rFonts w:hint="eastAsia" w:ascii="仿宋_GB2312" w:hAnsi="仿宋_GB2312" w:eastAsia="仿宋_GB2312" w:cs="仿宋_GB2312"/>
          <w:kern w:val="2"/>
          <w:sz w:val="32"/>
          <w:szCs w:val="32"/>
          <w:highlight w:val="none"/>
          <w:lang w:val="en-US" w:eastAsia="zh-CN"/>
        </w:rPr>
        <w:t>不动产登记部门在办理分割登记时，将幼儿园办至惠城区教育局名下，用途为教育用地，使用权类型为划拨。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val="en-US" w:eastAsia="zh-CN"/>
        </w:rPr>
        <w:t>（七）</w:t>
      </w:r>
      <w:r>
        <w:rPr>
          <w:rFonts w:hint="eastAsia" w:ascii="仿宋_GB2312" w:hAnsi="仿宋_GB2312" w:eastAsia="仿宋_GB2312" w:cs="仿宋_GB2312"/>
          <w:kern w:val="2"/>
          <w:sz w:val="32"/>
          <w:szCs w:val="32"/>
          <w:highlight w:val="none"/>
        </w:rPr>
        <w:t>取得JD10-01、03地块土地使用权者须按规划要求承担JD10-01、02、03地块西南侧惠大高速至四环南路的规划9米宽道路，JD10-01、02地块间和JD10-02、03地块间泰安路至马安河的规划21米宽道路，以及JD10-01地块西侧泰安路至马安河东北侧规划9米宽道路间的规划18.5米宽惠大高速辅道共计4条道路（包括雨水管、污水管、电力电缆沟及通信电缆沟）的建设，建成后无偿交给政府相关部门，并将道路开放给公众使用</w:t>
      </w:r>
      <w:r>
        <w:rPr>
          <w:rFonts w:hint="eastAsia" w:ascii="仿宋_GB2312" w:hAnsi="仿宋_GB2312" w:eastAsia="仿宋_GB2312" w:cs="仿宋_GB2312"/>
          <w:kern w:val="2"/>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lang w:val="en-US" w:eastAsia="zh-CN"/>
        </w:rPr>
        <w:t>八</w:t>
      </w: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rPr>
        <w:t>JD10-01、02、03地块所涉及的现状10KV架空线、10KV电缆须由取得JD10-01、03地块土地使用权者按供电部门要求负责迁移，JD10-01地块完成迁移后方可建设</w:t>
      </w:r>
      <w:r>
        <w:rPr>
          <w:rFonts w:hint="eastAsia" w:ascii="仿宋_GB2312" w:hAnsi="仿宋_GB2312" w:eastAsia="仿宋_GB2312" w:cs="仿宋_GB2312"/>
          <w:kern w:val="2"/>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lang w:val="en-US" w:eastAsia="zh-CN"/>
        </w:rPr>
        <w:t>九</w:t>
      </w: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rPr>
        <w:t>为保证滨水界面的视觉通透性和公共开敞空间，并营造优美的建筑天际线。建筑布局应将低矮、小尺度的建筑临水布置，较高的大体量建筑远水布置，形成从内陆到滨水层次鲜明、高低跌落的连续景观界面。滨水建筑应开敞通透，避免建设对景观遮挡严重的板式建筑，滨水地块的建筑间口率（建筑总面宽/基地滨水面宽）应控制在50%以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lang w:val="en-US" w:eastAsia="zh-CN"/>
        </w:rPr>
        <w:t>十</w:t>
      </w:r>
      <w:r>
        <w:rPr>
          <w:rFonts w:hint="eastAsia" w:ascii="仿宋_GB2312" w:hAnsi="仿宋_GB2312" w:eastAsia="仿宋_GB2312" w:cs="仿宋_GB2312"/>
          <w:kern w:val="2"/>
          <w:sz w:val="32"/>
          <w:szCs w:val="32"/>
          <w:highlight w:val="none"/>
          <w:lang w:eastAsia="zh-CN"/>
        </w:rPr>
        <w:t>）JD10-02地块九年一贯制学校</w:t>
      </w:r>
      <w:r>
        <w:rPr>
          <w:rFonts w:hint="eastAsia" w:ascii="仿宋_GB2312" w:hAnsi="仿宋_GB2312" w:eastAsia="仿宋_GB2312" w:cs="仿宋_GB2312"/>
          <w:kern w:val="2"/>
          <w:sz w:val="32"/>
          <w:szCs w:val="32"/>
          <w:highlight w:val="none"/>
          <w:lang w:val="en-US" w:eastAsia="zh-CN"/>
        </w:rPr>
        <w:t>应</w:t>
      </w:r>
      <w:r>
        <w:rPr>
          <w:rFonts w:hint="eastAsia" w:ascii="仿宋_GB2312" w:hAnsi="仿宋_GB2312" w:eastAsia="仿宋_GB2312" w:cs="仿宋_GB2312"/>
          <w:kern w:val="2"/>
          <w:sz w:val="32"/>
          <w:szCs w:val="32"/>
          <w:highlight w:val="none"/>
        </w:rPr>
        <w:t>与JD10-01、03地块同步规划设计、同步建设、同步验收交付使用，如JD10-01、03地块分期建设，该</w:t>
      </w:r>
      <w:r>
        <w:rPr>
          <w:rFonts w:hint="eastAsia" w:ascii="仿宋_GB2312" w:hAnsi="仿宋_GB2312" w:eastAsia="仿宋_GB2312" w:cs="仿宋_GB2312"/>
          <w:kern w:val="2"/>
          <w:sz w:val="32"/>
          <w:szCs w:val="32"/>
          <w:highlight w:val="none"/>
          <w:lang w:eastAsia="zh-CN"/>
        </w:rPr>
        <w:t>九年一贯制学校</w:t>
      </w:r>
      <w:r>
        <w:rPr>
          <w:rFonts w:hint="eastAsia" w:ascii="仿宋_GB2312" w:hAnsi="仿宋_GB2312" w:eastAsia="仿宋_GB2312" w:cs="仿宋_GB2312"/>
          <w:kern w:val="2"/>
          <w:sz w:val="32"/>
          <w:szCs w:val="32"/>
          <w:highlight w:val="none"/>
        </w:rPr>
        <w:t>应纳入首期工程</w:t>
      </w:r>
      <w:r>
        <w:rPr>
          <w:rFonts w:hint="eastAsia" w:ascii="仿宋_GB2312" w:hAnsi="仿宋_GB2312" w:eastAsia="仿宋_GB2312" w:cs="仿宋_GB2312"/>
          <w:kern w:val="2"/>
          <w:sz w:val="32"/>
          <w:szCs w:val="32"/>
          <w:highlight w:val="none"/>
          <w:lang w:eastAsia="zh-CN"/>
        </w:rPr>
        <w:t>，由取得JD10-01、03地块使用权者负责建设，并无偿移交惠城区教育局；学校操场下根据规划须配建两层停车库，提供社会公共停车位不少于750个，建成后无偿交给政府相关部门。</w:t>
      </w:r>
    </w:p>
    <w:p>
      <w:pPr>
        <w:tabs>
          <w:tab w:val="left" w:pos="3388"/>
        </w:tabs>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中华人民共和国境内外的法人、自然人和其他组织（除法律法规另有规定外），均可申请参加竞买。申请人可以单独申请，也可以联合申请。申请人还应具备下列条件：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（一）按时足额交纳竞买保证金。该宗地竞买保证金可用人民币或外币（暂限于美元、港币）支付。以人民币缴交竞买保证金的，须缴交人民币</w:t>
      </w:r>
      <w:r>
        <w:rPr>
          <w:rFonts w:hint="eastAsia" w:ascii="仿宋_GB2312" w:hAnsi="仿宋_GB2312" w:eastAsia="仿宋_GB2312" w:cs="仿宋_GB2312"/>
          <w:kern w:val="0"/>
          <w:sz w:val="32"/>
          <w:szCs w:val="32"/>
          <w:lang w:val="en-US" w:eastAsia="zh-CN"/>
        </w:rPr>
        <w:t>53838</w:t>
      </w:r>
      <w:r>
        <w:rPr>
          <w:rFonts w:hint="eastAsia" w:ascii="仿宋_GB2312" w:hAnsi="仿宋_GB2312" w:eastAsia="仿宋_GB2312" w:cs="仿宋_GB2312"/>
          <w:kern w:val="0"/>
          <w:sz w:val="32"/>
          <w:szCs w:val="32"/>
        </w:rPr>
        <w:t>万元，如以外币缴交竞买保证金的，须缴交美元</w:t>
      </w:r>
      <w:r>
        <w:rPr>
          <w:rFonts w:hint="eastAsia" w:ascii="仿宋_GB2312" w:hAnsi="仿宋_GB2312" w:eastAsia="仿宋_GB2312" w:cs="仿宋_GB2312"/>
          <w:kern w:val="0"/>
          <w:sz w:val="32"/>
          <w:szCs w:val="32"/>
          <w:lang w:val="en-US" w:eastAsia="zh-CN"/>
        </w:rPr>
        <w:t>8469</w:t>
      </w:r>
      <w:r>
        <w:rPr>
          <w:rFonts w:hint="eastAsia" w:ascii="仿宋_GB2312" w:hAnsi="仿宋_GB2312" w:eastAsia="仿宋_GB2312" w:cs="仿宋_GB2312"/>
          <w:kern w:val="0"/>
          <w:sz w:val="32"/>
          <w:szCs w:val="32"/>
        </w:rPr>
        <w:t>万元或港币</w:t>
      </w:r>
      <w:r>
        <w:rPr>
          <w:rFonts w:hint="eastAsia" w:ascii="仿宋_GB2312" w:hAnsi="仿宋_GB2312" w:eastAsia="仿宋_GB2312" w:cs="仿宋_GB2312"/>
          <w:kern w:val="0"/>
          <w:sz w:val="32"/>
          <w:szCs w:val="32"/>
          <w:lang w:val="en-US" w:eastAsia="zh-CN"/>
        </w:rPr>
        <w:t>65726</w:t>
      </w:r>
      <w:r>
        <w:rPr>
          <w:rFonts w:hint="eastAsia" w:ascii="仿宋_GB2312" w:hAnsi="仿宋_GB2312" w:eastAsia="仿宋_GB2312" w:cs="仿宋_GB2312"/>
          <w:kern w:val="0"/>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（二）预先办理数字证书。本次国有建设用地使用权网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（三）申请人及其控股股东存在下列违法、违规、违约行为之一的，不得参与上述地块竞买活动：</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1、存在伪造公文骗取用地和非法倒卖土地等犯罪行为的；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2、存在非法转让土地使用权等违法行为的；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3、因企业原因造成土地闲置一年以上且至报名日止未处罚完结的；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4、开发建设企业有违背出让合同约定条件开发利用土地情形且至报名日止未处罚完结的；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5、至报名日止仍拖欠政府地价款的;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6、被列入问题楼盘开发企业黑名单的;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7、存在其它被禁止竞买土地行为的。</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竞得人有下列行为之一的，视为违约，取消竞得人资格，</w:t>
      </w:r>
      <w:r>
        <w:rPr>
          <w:rFonts w:hint="eastAsia" w:ascii="仿宋_GB2312" w:hAnsi="仿宋_GB2312" w:eastAsia="仿宋_GB2312" w:cs="仿宋_GB2312"/>
          <w:sz w:val="32"/>
          <w:szCs w:val="32"/>
          <w:lang w:val="en-US" w:eastAsia="zh-CN"/>
        </w:rPr>
        <w:t>定金不予退还,</w:t>
      </w:r>
      <w:r>
        <w:rPr>
          <w:rFonts w:hint="eastAsia" w:ascii="仿宋_GB2312" w:hAnsi="仿宋_GB2312" w:eastAsia="仿宋_GB2312" w:cs="仿宋_GB2312"/>
          <w:sz w:val="32"/>
          <w:szCs w:val="32"/>
        </w:rPr>
        <w:t>并由有关部门依法处理;造成损失的，竞得人还应依法承担赔偿责任：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（一）不符合竞买资格条件的。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规划编号为JD10-01、JD10-03两宗地块一并</w:t>
      </w:r>
      <w:r>
        <w:rPr>
          <w:rFonts w:hint="eastAsia" w:ascii="仿宋_GB2312" w:hAnsi="仿宋_GB2312" w:eastAsia="仿宋_GB2312" w:cs="仿宋_GB2312"/>
          <w:sz w:val="32"/>
          <w:szCs w:val="32"/>
        </w:rPr>
        <w:t>挂牌</w:t>
      </w:r>
      <w:r>
        <w:rPr>
          <w:rFonts w:hint="eastAsia" w:ascii="仿宋_GB2312" w:hAnsi="仿宋_GB2312" w:eastAsia="仿宋_GB2312" w:cs="仿宋_GB2312"/>
          <w:sz w:val="32"/>
          <w:szCs w:val="32"/>
          <w:lang w:val="en-US" w:eastAsia="zh-CN"/>
        </w:rPr>
        <w:t>出让，</w:t>
      </w:r>
      <w:r>
        <w:rPr>
          <w:rFonts w:hint="eastAsia" w:ascii="仿宋_GB2312" w:hAnsi="仿宋_GB2312" w:eastAsia="仿宋_GB2312" w:cs="仿宋_GB2312"/>
          <w:sz w:val="32"/>
          <w:szCs w:val="32"/>
        </w:rPr>
        <w:t>挂牌起始价为人民币</w:t>
      </w:r>
      <w:r>
        <w:rPr>
          <w:rFonts w:hint="eastAsia" w:ascii="仿宋_GB2312" w:hAnsi="仿宋_GB2312" w:eastAsia="仿宋_GB2312" w:cs="仿宋_GB2312"/>
          <w:sz w:val="32"/>
          <w:szCs w:val="32"/>
          <w:u w:val="single"/>
          <w:lang w:val="en-US" w:eastAsia="zh-CN"/>
        </w:rPr>
        <w:t>壹拾柒亿玖仟肆佰陆拾</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179460</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lang w:val="en-US" w:eastAsia="zh-CN"/>
        </w:rPr>
        <w:t>壹仟</w:t>
      </w:r>
      <w:r>
        <w:rPr>
          <w:rFonts w:hint="eastAsia" w:ascii="仿宋_GB2312" w:hAnsi="仿宋_GB2312" w:eastAsia="仿宋_GB2312" w:cs="仿宋_GB2312"/>
          <w:sz w:val="32"/>
          <w:szCs w:val="32"/>
          <w:u w:val="single"/>
        </w:rPr>
        <w:t>万元</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10</w:t>
      </w:r>
      <w:r>
        <w:rPr>
          <w:rFonts w:hint="eastAsia" w:ascii="仿宋_GB2312" w:hAnsi="仿宋_GB2312" w:eastAsia="仿宋_GB2312" w:cs="仿宋_GB2312"/>
          <w:sz w:val="32"/>
          <w:szCs w:val="32"/>
          <w:u w:val="single"/>
        </w:rPr>
        <w:t>00</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日10时。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申请人可在网上挂牌交易系统浏览或下载本次网上挂牌出让文件，具体包括：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惠州市国有建设用地使用权网上挂牌出让公告；</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2、惠州市国有建设用地使用权网上挂牌出让须知；</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挂牌出让地块现状图；</w:t>
      </w:r>
    </w:p>
    <w:p>
      <w:pPr>
        <w:tabs>
          <w:tab w:val="left" w:pos="3388"/>
        </w:tabs>
        <w:spacing w:line="560" w:lineRule="exact"/>
        <w:ind w:firstLine="640"/>
        <w:jc w:val="left"/>
        <w:rPr>
          <w:rFonts w:hint="default" w:eastAsia="仿宋_GB2312"/>
          <w:lang w:val="en-US" w:eastAsia="zh-CN"/>
        </w:rPr>
      </w:pPr>
      <w:r>
        <w:rPr>
          <w:rFonts w:hint="eastAsia" w:ascii="仿宋_GB2312" w:hAnsi="仿宋_GB2312" w:eastAsia="仿宋_GB2312" w:cs="仿宋_GB2312"/>
          <w:sz w:val="32"/>
          <w:szCs w:val="32"/>
          <w:lang w:val="en-US" w:eastAsia="zh-CN"/>
        </w:rPr>
        <w:t>4、红线图；</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宗地规划指标要求；</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val="en-US" w:eastAsia="zh-CN"/>
        </w:rPr>
        <w:t>国有建设用地使用权电子挂牌</w:t>
      </w:r>
      <w:r>
        <w:rPr>
          <w:rFonts w:hint="eastAsia" w:ascii="仿宋_GB2312" w:hAnsi="仿宋_GB2312" w:eastAsia="仿宋_GB2312" w:cs="仿宋_GB2312"/>
          <w:sz w:val="32"/>
          <w:szCs w:val="32"/>
        </w:rPr>
        <w:t>交易成交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书”）样本；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《国有建设用地使用权出让合同》（以下简称“出让合同”）样本；</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8、其他相关文件</w:t>
      </w:r>
      <w:r>
        <w:rPr>
          <w:rFonts w:hint="eastAsia" w:ascii="仿宋_GB2312" w:hAnsi="仿宋_GB2312" w:eastAsia="仿宋_GB2312" w:cs="仿宋_GB2312"/>
          <w:sz w:val="32"/>
          <w:szCs w:val="32"/>
        </w:rPr>
        <w:t>。</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ascii="仿宋_GB2312" w:hAnsi="仿宋_GB2312" w:eastAsia="仿宋_GB2312" w:cs="仿宋_GB2312"/>
          <w:b/>
          <w:bCs/>
          <w:sz w:val="32"/>
          <w:szCs w:val="32"/>
        </w:rPr>
      </w:pPr>
      <w:bookmarkStart w:id="4" w:name="103"/>
      <w:bookmarkEnd w:id="4"/>
      <w:r>
        <w:rPr>
          <w:rFonts w:hint="eastAsia" w:ascii="仿宋_GB2312" w:hAnsi="仿宋_GB2312" w:eastAsia="仿宋_GB2312" w:cs="仿宋_GB2312"/>
          <w:b/>
          <w:bCs/>
          <w:sz w:val="32"/>
          <w:szCs w:val="32"/>
        </w:rPr>
        <w:t xml:space="preserve"> 十二、竞买保证金</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（一）竞买保证金是申请人参加网上挂牌交易活动的资格条件。按规定将竞买保证金汇入指定账户，是参加网上挂牌交易活动的必经程序。</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（二）本宗地竞买保证金到账截止时间为202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11</w:t>
      </w:r>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伍亿叁仟捌佰叁拾捌</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53838</w:t>
      </w:r>
      <w:r>
        <w:rPr>
          <w:rFonts w:hint="eastAsia" w:ascii="仿宋_GB2312" w:hAnsi="仿宋_GB2312" w:eastAsia="仿宋_GB2312" w:cs="仿宋_GB2312"/>
          <w:sz w:val="32"/>
          <w:szCs w:val="32"/>
        </w:rPr>
        <w:t>万元）；如以外币缴交竞买保证金的，须缴交美元</w:t>
      </w:r>
      <w:r>
        <w:rPr>
          <w:rFonts w:hint="eastAsia" w:ascii="仿宋_GB2312" w:hAnsi="仿宋_GB2312" w:eastAsia="仿宋_GB2312" w:cs="仿宋_GB2312"/>
          <w:sz w:val="32"/>
          <w:szCs w:val="32"/>
          <w:u w:val="single"/>
          <w:lang w:val="en-US" w:eastAsia="zh-CN"/>
        </w:rPr>
        <w:t>捌仟肆佰陆拾玖</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USD</w:t>
      </w:r>
      <w:r>
        <w:rPr>
          <w:rFonts w:hint="eastAsia" w:ascii="仿宋_GB2312" w:hAnsi="仿宋_GB2312" w:eastAsia="仿宋_GB2312" w:cs="仿宋_GB2312"/>
          <w:sz w:val="32"/>
          <w:szCs w:val="32"/>
          <w:u w:val="single"/>
          <w:lang w:val="en-US" w:eastAsia="zh-CN"/>
        </w:rPr>
        <w:t>8469</w:t>
      </w:r>
      <w:r>
        <w:rPr>
          <w:rFonts w:hint="eastAsia" w:ascii="仿宋_GB2312" w:hAnsi="仿宋_GB2312" w:eastAsia="仿宋_GB2312" w:cs="仿宋_GB2312"/>
          <w:sz w:val="32"/>
          <w:szCs w:val="32"/>
        </w:rPr>
        <w:t>万元）或港</w:t>
      </w:r>
      <w:r>
        <w:rPr>
          <w:rFonts w:hint="eastAsia" w:ascii="仿宋_GB2312" w:hAnsi="仿宋_GB2312" w:eastAsia="仿宋_GB2312" w:cs="仿宋_GB2312"/>
          <w:sz w:val="32"/>
          <w:szCs w:val="32"/>
          <w:u w:val="none"/>
          <w:lang w:val="en-US" w:eastAsia="zh-CN"/>
        </w:rPr>
        <w:t>币</w:t>
      </w:r>
      <w:r>
        <w:rPr>
          <w:rFonts w:hint="eastAsia" w:ascii="仿宋_GB2312" w:hAnsi="仿宋_GB2312" w:eastAsia="仿宋_GB2312" w:cs="仿宋_GB2312"/>
          <w:sz w:val="32"/>
          <w:szCs w:val="32"/>
          <w:u w:val="single"/>
          <w:lang w:val="en-US" w:eastAsia="zh-CN"/>
        </w:rPr>
        <w:t>陆亿伍仟柒佰贰</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陆</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(HKD</w:t>
      </w:r>
      <w:r>
        <w:rPr>
          <w:rFonts w:hint="eastAsia" w:ascii="仿宋_GB2312" w:hAnsi="仿宋_GB2312" w:eastAsia="仿宋_GB2312" w:cs="仿宋_GB2312"/>
          <w:sz w:val="32"/>
          <w:szCs w:val="32"/>
          <w:u w:val="single"/>
          <w:lang w:val="en-US" w:eastAsia="zh-CN"/>
        </w:rPr>
        <w:t>65726</w:t>
      </w:r>
      <w:r>
        <w:rPr>
          <w:rFonts w:hint="eastAsia" w:ascii="仿宋_GB2312" w:hAnsi="仿宋_GB2312" w:eastAsia="仿宋_GB2312" w:cs="仿宋_GB2312"/>
          <w:sz w:val="32"/>
          <w:szCs w:val="32"/>
        </w:rPr>
        <w:t>万元）。</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（四）跨地区或跨行转账的竞买人，需预足资金的在途时间，以免影响竞买人及时取得竞买资格。</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（五）竞买保证金到账时间以网上挂牌交易系统颁发《保证金到账通知书》为准。</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（六）竞买保证金开户单位：惠州市公共资源交易中心</w:t>
      </w:r>
    </w:p>
    <w:p>
      <w:pPr>
        <w:tabs>
          <w:tab w:val="left" w:pos="3388"/>
        </w:tabs>
        <w:spacing w:line="560" w:lineRule="exact"/>
        <w:ind w:firstLine="640" w:firstLineChars="200"/>
        <w:jc w:val="left"/>
      </w:pPr>
      <w:r>
        <w:rPr>
          <w:rFonts w:hint="eastAsia" w:ascii="仿宋_GB2312" w:hAnsi="仿宋_GB2312" w:eastAsia="仿宋_GB2312" w:cs="仿宋_GB2312"/>
          <w:sz w:val="32"/>
          <w:szCs w:val="32"/>
        </w:rPr>
        <w:t>竞买保证金账号：网上挂牌交易系统随机产生子账号。</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中国建设银行惠州广场支行。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中国银行惠州分行。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中国工商银行股份有限公司惠州富力国际中心支行 。</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中国农业银行惠州分行。</w:t>
      </w:r>
    </w:p>
    <w:p>
      <w:pPr>
        <w:tabs>
          <w:tab w:val="left" w:pos="3388"/>
        </w:tabs>
        <w:spacing w:line="560" w:lineRule="exact"/>
        <w:ind w:firstLine="640" w:firstLineChars="200"/>
        <w:jc w:val="left"/>
        <w:rPr>
          <w:rFonts w:hint="eastAsia"/>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广发银行惠州江北支行。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交通银行惠州分行。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惠州市农村商业银行股份有限公司惠城支行。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上海浦东发展银行股份有限公司惠州分行 。</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中国民生银行股份有限公司惠州分行。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10、中国光大银行股份有限公司惠州分行。</w:t>
      </w:r>
    </w:p>
    <w:p>
      <w:pPr>
        <w:tabs>
          <w:tab w:val="left" w:pos="3388"/>
        </w:tabs>
        <w:spacing w:line="560" w:lineRule="exact"/>
        <w:ind w:firstLine="640" w:firstLineChars="200"/>
        <w:jc w:val="left"/>
        <w:rPr>
          <w:rFonts w:hint="eastAsia"/>
          <w:lang w:val="en-US"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中信银行股份有限公司惠州分行。(备注:中信银行股份有限公司惠州分行本行转</w:t>
      </w:r>
      <w:r>
        <w:rPr>
          <w:rFonts w:hint="eastAsia" w:ascii="Times New Roman" w:hAnsi="Times New Roman" w:eastAsia="仿宋_GB2312" w:cs="Times New Roman"/>
          <w:kern w:val="2"/>
          <w:sz w:val="32"/>
          <w:szCs w:val="32"/>
          <w:lang w:val="en-US" w:eastAsia="zh-CN" w:bidi="ar-SA"/>
        </w:rPr>
        <w:t>账</w:t>
      </w:r>
      <w:r>
        <w:rPr>
          <w:rFonts w:hint="eastAsia" w:ascii="仿宋_GB2312" w:hAnsi="仿宋_GB2312" w:eastAsia="仿宋_GB2312" w:cs="仿宋_GB2312"/>
          <w:sz w:val="32"/>
          <w:szCs w:val="32"/>
        </w:rPr>
        <w:t>须到银行柜面办理)。</w:t>
      </w:r>
    </w:p>
    <w:p>
      <w:pPr>
        <w:tabs>
          <w:tab w:val="left" w:pos="3388"/>
        </w:tabs>
        <w:spacing w:line="560" w:lineRule="exact"/>
        <w:jc w:val="left"/>
        <w:rPr>
          <w:rFonts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（一）本次网上挂牌以增价方式进行报价，每次加价幅度为本须知规定增价幅度的整数倍。</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（二）竞买人的首次报价不低于起始价，此后的竞买人报价须高于报价当时的最新网上挂牌价格，并以增价幅度的整数倍加价。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（三）竞买人通过网上挂牌交易提交的报价一经报出，不得撤回。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（四）在报价期间，竞买人可多次报价。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（五）在报价期内，竞买人必须进行一次有效报价，才能参加网上限时竞价。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（六）竞买人报价有下列情形之一的，为无效报价：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1、报价未在网上挂牌期限内收到的。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2、报价因竞买人网络故障未在网上挂牌报价期限内收到的。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3、报价不符合报价规则的。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4、报价低于网上挂牌起始价的。</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5、报价不符合网上挂牌公告、须知及相关交易文件规定的其他情形。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十四、系统操作</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土地与矿业交易系统竞买人操作视频</w:t>
      </w:r>
      <w:r>
        <w:rPr>
          <w:rFonts w:hint="eastAsia" w:ascii="仿宋_GB2312" w:hAnsi="仿宋_GB2312" w:eastAsia="仿宋_GB2312" w:cs="仿宋_GB2312"/>
          <w:sz w:val="32"/>
          <w:szCs w:val="32"/>
          <w:lang w:val="en-US" w:eastAsia="zh-CN"/>
        </w:rPr>
        <w:t>可在</w:t>
      </w:r>
      <w:r>
        <w:rPr>
          <w:rFonts w:hint="eastAsia" w:ascii="仿宋_GB2312" w:hAnsi="仿宋_GB2312" w:eastAsia="仿宋_GB2312" w:cs="仿宋_GB2312"/>
          <w:sz w:val="32"/>
          <w:szCs w:val="32"/>
        </w:rPr>
        <w:t>本中心网上挂牌交易系</w:t>
      </w:r>
      <w:r>
        <w:rPr>
          <w:rFonts w:hint="eastAsia" w:ascii="仿宋_GB2312" w:hAnsi="仿宋_GB2312" w:eastAsia="仿宋_GB2312" w:cs="仿宋_GB2312"/>
          <w:sz w:val="32"/>
          <w:szCs w:val="32"/>
          <w:lang w:val="en-US" w:eastAsia="zh-CN"/>
        </w:rPr>
        <w:t>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下载。</w:t>
      </w:r>
      <w:bookmarkStart w:id="6" w:name="106"/>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)查询。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（三）交纳保证金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 xml:space="preserve">权限。（详见本《须知》第十二条。） </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4、网上挂牌交易系统继续接受新的报价。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5、网上挂牌报价规则见</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《须知》第十三条。</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1、网上挂牌交易系统将在网上挂牌截止时间自动确定网上挂牌截止。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2、网上挂牌交易</w:t>
      </w:r>
      <w:r>
        <w:rPr>
          <w:rFonts w:hint="eastAsia" w:ascii="仿宋_GB2312" w:hAnsi="仿宋_GB2312" w:eastAsia="仿宋_GB2312" w:cs="仿宋_GB2312"/>
          <w:sz w:val="32"/>
          <w:szCs w:val="32"/>
          <w:lang w:val="en-US" w:eastAsia="zh-CN"/>
        </w:rPr>
        <w:t>期限截止时，无人报价的，挂牌不成交</w:t>
      </w:r>
      <w:r>
        <w:rPr>
          <w:rFonts w:hint="eastAsia" w:ascii="仿宋_GB2312" w:hAnsi="仿宋_GB2312" w:eastAsia="仿宋_GB2312" w:cs="仿宋_GB2312"/>
          <w:sz w:val="32"/>
          <w:szCs w:val="32"/>
        </w:rPr>
        <w:t>。</w:t>
      </w:r>
    </w:p>
    <w:p>
      <w:pPr>
        <w:tabs>
          <w:tab w:val="left" w:pos="3388"/>
        </w:tabs>
        <w:spacing w:line="560" w:lineRule="exact"/>
        <w:ind w:firstLine="640"/>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3、网上挂牌交易</w:t>
      </w:r>
      <w:r>
        <w:rPr>
          <w:rFonts w:hint="eastAsia" w:ascii="仿宋_GB2312" w:hAnsi="仿宋_GB2312" w:eastAsia="仿宋_GB2312" w:cs="仿宋_GB2312"/>
          <w:sz w:val="32"/>
          <w:szCs w:val="32"/>
          <w:lang w:val="en-US" w:eastAsia="zh-CN"/>
        </w:rPr>
        <w:t>期限截止时，只有1个竞买人报价，且报价不低于起始价的，挂牌成交，该报价者为竞得人。</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tabs>
          <w:tab w:val="left" w:pos="3388"/>
        </w:tabs>
        <w:spacing w:line="560" w:lineRule="exact"/>
        <w:jc w:val="left"/>
        <w:rPr>
          <w:rFonts w:hint="eastAsia" w:eastAsia="仿宋_GB2312"/>
          <w:lang w:val="en-US" w:eastAsia="zh-CN"/>
        </w:rPr>
      </w:pPr>
      <w:r>
        <w:rPr>
          <w:rFonts w:hint="eastAsia" w:ascii="仿宋_GB2312" w:hAnsi="仿宋_GB2312" w:eastAsia="仿宋_GB2312" w:cs="仿宋_GB2312"/>
          <w:sz w:val="32"/>
          <w:szCs w:val="32"/>
        </w:rPr>
        <w:t xml:space="preserve">     网上限时竞价中无人报价的，以网上挂牌截止时出价最高</w:t>
      </w:r>
      <w:r>
        <w:rPr>
          <w:rFonts w:hint="eastAsia" w:ascii="仿宋_GB2312" w:hAnsi="仿宋_GB2312" w:eastAsia="仿宋_GB2312" w:cs="仿宋_GB2312"/>
          <w:sz w:val="32"/>
          <w:szCs w:val="32"/>
          <w:lang w:val="en-US" w:eastAsia="zh-CN"/>
        </w:rPr>
        <w:t>且报价不低于起始价者</w:t>
      </w:r>
      <w:r>
        <w:rPr>
          <w:rFonts w:hint="eastAsia" w:ascii="仿宋_GB2312" w:hAnsi="仿宋_GB2312" w:eastAsia="仿宋_GB2312" w:cs="仿宋_GB2312"/>
          <w:sz w:val="32"/>
          <w:szCs w:val="32"/>
        </w:rPr>
        <w:t>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经网上挂牌交易系统询问完毕后，没有竞买人表示愿意继续竞价的，</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网上挂牌交易</w:t>
      </w:r>
      <w:r>
        <w:rPr>
          <w:rFonts w:hint="eastAsia" w:ascii="仿宋_GB2312" w:hAnsi="仿宋_GB2312" w:eastAsia="仿宋_GB2312" w:cs="仿宋_GB2312"/>
          <w:sz w:val="32"/>
          <w:szCs w:val="32"/>
          <w:lang w:val="en-US" w:eastAsia="zh-CN"/>
        </w:rPr>
        <w:t>截止时报价最高且报价不低于起始价者为竞得人。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）资格审查和签订《成交确认书》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1、网上挂牌交易结束后，竞得人应当自行下载打印《竞买申请书》、《竞价结果通知书》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《竞买保证金到账通知书》并盖章。</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2、竞得人应当在网上挂牌交易结果公布</w:t>
      </w:r>
      <w:r>
        <w:rPr>
          <w:rFonts w:hint="eastAsia" w:ascii="仿宋_GB2312" w:hAnsi="仿宋_GB2312" w:eastAsia="仿宋_GB2312" w:cs="仿宋_GB2312"/>
          <w:sz w:val="32"/>
          <w:szCs w:val="32"/>
          <w:lang w:val="en-US" w:eastAsia="zh-CN"/>
        </w:rPr>
        <w:t>之日起5</w:t>
      </w:r>
      <w:r>
        <w:rPr>
          <w:rFonts w:hint="eastAsia" w:ascii="仿宋_GB2312" w:hAnsi="仿宋_GB2312" w:eastAsia="仿宋_GB2312" w:cs="仿宋_GB2312"/>
          <w:sz w:val="32"/>
          <w:szCs w:val="32"/>
        </w:rPr>
        <w:t>个工作日内持公司公章及下列有关纸质材料到本中心进行资格审查并签订《成交确认书》：</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（2）《竞价结果通知书》（加盖公章）。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（3）《竞买保证金到账通知书》（加盖公章）。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（4）转帐凭证复印件（加盖公章）</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（5）申请竞买人有效的《营业执照》复印件（加盖公章）（二份）。</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（6）法定代表人身份证复印件（加盖公章）（二份</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）联合竞买协议（联合竞买的提供）。</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竞买</w:t>
      </w:r>
      <w:r>
        <w:rPr>
          <w:rFonts w:hint="eastAsia" w:ascii="仿宋_GB2312" w:hAnsi="仿宋_GB2312" w:eastAsia="仿宋_GB2312" w:cs="仿宋_GB2312"/>
          <w:sz w:val="32"/>
          <w:szCs w:val="32"/>
        </w:rPr>
        <w:t>人及其控股股东</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存在违法、违规、违约行为的</w:t>
      </w:r>
      <w:r>
        <w:rPr>
          <w:rFonts w:hint="eastAsia" w:ascii="仿宋_GB2312" w:hAnsi="仿宋_GB2312" w:eastAsia="仿宋_GB2312" w:cs="仿宋_GB2312"/>
          <w:sz w:val="32"/>
          <w:szCs w:val="32"/>
          <w:lang w:val="en-US" w:eastAsia="zh-CN"/>
        </w:rPr>
        <w:t>承诺书</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竞买人如需保存上述竞买报名资料应自留备份，本中心不予退还。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联合竞买协议要约定联合各方的权利和义务。必须明确表达参与联合竞买的各方、参与竞买的代表人、联合各方的出资比例和签订《出让合同》时的受让人。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上述文件中，申请书必须用中文书写，其他文件可以使用其它语言，但必须附中文译本，所有文件的解释以中文译本为准。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）网上挂牌出让结果公示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（二）本次国有建设用地使用权网上挂牌出让为无底价挂牌出让，按照价高者得的原则确定竞得人。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）确定竞得人后，竞得人持《</w:t>
      </w:r>
      <w:r>
        <w:rPr>
          <w:rFonts w:hint="eastAsia" w:ascii="仿宋_GB2312" w:hAnsi="仿宋_GB2312" w:eastAsia="仿宋_GB2312" w:cs="仿宋_GB2312"/>
          <w:sz w:val="32"/>
          <w:szCs w:val="32"/>
          <w:lang w:val="en-US" w:eastAsia="zh-CN"/>
        </w:rPr>
        <w:t>竞价结果</w:t>
      </w:r>
      <w:r>
        <w:rPr>
          <w:rFonts w:hint="eastAsia" w:ascii="仿宋_GB2312" w:hAnsi="仿宋_GB2312" w:eastAsia="仿宋_GB2312" w:cs="仿宋_GB2312"/>
          <w:sz w:val="32"/>
          <w:szCs w:val="32"/>
        </w:rPr>
        <w:t>通知书》以及参加本宗地网上挂牌交易的所须资料到惠州市公共资源交易中心土地矿业交易部申办相关成交确认手续。</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竞价结果</w:t>
      </w:r>
      <w:r>
        <w:rPr>
          <w:rFonts w:hint="eastAsia" w:ascii="仿宋_GB2312" w:hAnsi="仿宋_GB2312" w:eastAsia="仿宋_GB2312" w:cs="仿宋_GB2312"/>
          <w:sz w:val="32"/>
          <w:szCs w:val="32"/>
        </w:rPr>
        <w:t>通知书》对挂牌人和竞得人具有法律效力，挂牌人改变网上挂牌结果的，或者竞得人放弃竞得宗地的，应当承担相应法律责任。</w:t>
      </w:r>
    </w:p>
    <w:p>
      <w:pPr>
        <w:tabs>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成交价的10%转作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竞得人签订《出让合同》后，定金可抵作土地成交价款，余额转作成交价款。</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以外币缴交竞买保证金的，扣除定金后余额</w:t>
      </w:r>
      <w:r>
        <w:rPr>
          <w:rFonts w:hint="eastAsia" w:ascii="仿宋_GB2312" w:hAnsi="仿宋_GB2312" w:eastAsia="仿宋_GB2312" w:cs="仿宋_GB2312"/>
          <w:sz w:val="32"/>
          <w:szCs w:val="32"/>
          <w:lang w:val="en-US" w:eastAsia="zh-CN"/>
        </w:rPr>
        <w:t>部分返回给竞得人</w:t>
      </w:r>
      <w:r>
        <w:rPr>
          <w:rFonts w:hint="eastAsia" w:ascii="仿宋_GB2312" w:hAnsi="仿宋_GB2312" w:eastAsia="仿宋_GB2312" w:cs="仿宋_GB2312"/>
          <w:sz w:val="32"/>
          <w:szCs w:val="32"/>
        </w:rPr>
        <w:t>，待竞得人按时缴清成交价款后，再将定金退</w:t>
      </w:r>
      <w:r>
        <w:rPr>
          <w:rFonts w:hint="eastAsia" w:ascii="仿宋_GB2312" w:hAnsi="仿宋_GB2312" w:eastAsia="仿宋_GB2312" w:cs="仿宋_GB2312"/>
          <w:sz w:val="32"/>
          <w:szCs w:val="32"/>
          <w:lang w:val="en-US" w:eastAsia="zh-CN"/>
        </w:rPr>
        <w:t>还</w:t>
      </w:r>
      <w:r>
        <w:rPr>
          <w:rFonts w:hint="eastAsia" w:ascii="仿宋_GB2312" w:hAnsi="仿宋_GB2312" w:eastAsia="仿宋_GB2312" w:cs="仿宋_GB2312"/>
          <w:sz w:val="32"/>
          <w:szCs w:val="32"/>
        </w:rPr>
        <w:t>，不计利息。</w:t>
      </w:r>
    </w:p>
    <w:p>
      <w:pPr>
        <w:tabs>
          <w:tab w:val="left" w:pos="3388"/>
        </w:tabs>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未竞得人缴纳的竞买保证金将于电子挂牌交易活动结束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5个工作日内带齐相关资料（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竞价结果通知书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《保证金到帐通知书》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保证金</w:t>
      </w:r>
      <w:r>
        <w:rPr>
          <w:rFonts w:hint="eastAsia" w:ascii="仿宋_GB2312" w:hAnsi="仿宋_GB2312" w:eastAsia="仿宋_GB2312" w:cs="仿宋_GB2312"/>
          <w:color w:val="000000"/>
          <w:sz w:val="32"/>
          <w:szCs w:val="32"/>
        </w:rPr>
        <w:t>进账单等）到本中心退还保证金，不计利息。</w:t>
      </w:r>
    </w:p>
    <w:p>
      <w:pPr>
        <w:pStyle w:val="2"/>
        <w:rPr>
          <w:rFonts w:ascii="仿宋_GB2312" w:hAnsi="仿宋_GB2312" w:eastAsia="仿宋_GB2312" w:cs="仿宋_GB2312"/>
          <w:sz w:val="32"/>
          <w:szCs w:val="32"/>
          <w:shd w:val="clear" w:color="FFFFFF" w:fill="D9D9D9"/>
        </w:rPr>
      </w:pPr>
      <w:r>
        <w:rPr>
          <w:rFonts w:hint="eastAsia" w:ascii="仿宋_GB2312" w:hAnsi="仿宋_GB2312" w:eastAsia="仿宋_GB2312" w:cs="仿宋_GB2312"/>
          <w:color w:val="000000"/>
          <w:kern w:val="2"/>
          <w:sz w:val="32"/>
          <w:szCs w:val="32"/>
          <w:lang w:val="en-US" w:eastAsia="zh-CN" w:bidi="ar-SA"/>
        </w:rPr>
        <w:t>《成交确认书》签订之日起5个工作日内竞得人须与出让人签订《出让合同》。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5、司法机关要求暂停、中止或终止网上挂牌交易活动的。</w:t>
      </w:r>
    </w:p>
    <w:p>
      <w:pPr>
        <w:spacing w:line="560" w:lineRule="exact"/>
        <w:rPr>
          <w:rFonts w:ascii="仿宋_GB2312" w:eastAsia="仿宋_GB231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6、市自然资源管理部门或交易中心认为应当暂停、中止或终止网上挂牌交易活动的其他情形。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）网上挂牌成交价即为该幅地块的总地价款，竞得人除支付成交价款外，还需支付契税、印花税等有关费用。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）本中心对本《须知》有解释权。未尽事宜依照《招标拍卖挂牌出让国有土地使用权规范》办理。</w:t>
      </w:r>
    </w:p>
    <w:p>
      <w:pPr>
        <w:tabs>
          <w:tab w:val="left" w:pos="3388"/>
        </w:tabs>
        <w:ind w:firstLine="4640" w:firstLineChars="1450"/>
        <w:jc w:val="left"/>
        <w:rPr>
          <w:rFonts w:hint="eastAsia" w:ascii="仿宋_GB2312" w:hAnsi="仿宋_GB2312" w:eastAsia="仿宋_GB2312" w:cs="仿宋_GB2312"/>
          <w:sz w:val="32"/>
          <w:szCs w:val="32"/>
        </w:rPr>
      </w:pPr>
    </w:p>
    <w:p>
      <w:pPr>
        <w:tabs>
          <w:tab w:val="left" w:pos="3388"/>
        </w:tabs>
        <w:ind w:firstLine="4640" w:firstLineChars="1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tabs>
          <w:tab w:val="left" w:pos="3388"/>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11E46EB"/>
    <w:rsid w:val="031A11BD"/>
    <w:rsid w:val="032C70CD"/>
    <w:rsid w:val="042C6BAB"/>
    <w:rsid w:val="04F7599A"/>
    <w:rsid w:val="054F511E"/>
    <w:rsid w:val="05616BEE"/>
    <w:rsid w:val="05AA6043"/>
    <w:rsid w:val="065D58C0"/>
    <w:rsid w:val="071F73B3"/>
    <w:rsid w:val="077D5D24"/>
    <w:rsid w:val="07D27002"/>
    <w:rsid w:val="07F629A0"/>
    <w:rsid w:val="091E26EA"/>
    <w:rsid w:val="09317644"/>
    <w:rsid w:val="0A812477"/>
    <w:rsid w:val="0C40433F"/>
    <w:rsid w:val="0DCB3B54"/>
    <w:rsid w:val="0FB217AF"/>
    <w:rsid w:val="0FB2799E"/>
    <w:rsid w:val="10152918"/>
    <w:rsid w:val="105A2768"/>
    <w:rsid w:val="10A1573B"/>
    <w:rsid w:val="10B43BC1"/>
    <w:rsid w:val="111E117E"/>
    <w:rsid w:val="114B791E"/>
    <w:rsid w:val="11505300"/>
    <w:rsid w:val="11A17A14"/>
    <w:rsid w:val="12295A9F"/>
    <w:rsid w:val="15BB632B"/>
    <w:rsid w:val="15C4392F"/>
    <w:rsid w:val="15D340EA"/>
    <w:rsid w:val="16615977"/>
    <w:rsid w:val="168C318D"/>
    <w:rsid w:val="16AE6DA7"/>
    <w:rsid w:val="1960257D"/>
    <w:rsid w:val="19D941D6"/>
    <w:rsid w:val="1CB6407B"/>
    <w:rsid w:val="1DE56E00"/>
    <w:rsid w:val="1ED73189"/>
    <w:rsid w:val="20855E22"/>
    <w:rsid w:val="21587C67"/>
    <w:rsid w:val="23141DA3"/>
    <w:rsid w:val="23251288"/>
    <w:rsid w:val="24B951B7"/>
    <w:rsid w:val="25D63F7C"/>
    <w:rsid w:val="26945C50"/>
    <w:rsid w:val="26FE6F45"/>
    <w:rsid w:val="282C1E6E"/>
    <w:rsid w:val="28D2352A"/>
    <w:rsid w:val="28ED736B"/>
    <w:rsid w:val="29220F8B"/>
    <w:rsid w:val="29DE5841"/>
    <w:rsid w:val="2A9618EC"/>
    <w:rsid w:val="2AA45603"/>
    <w:rsid w:val="2B1A2077"/>
    <w:rsid w:val="2CA246FC"/>
    <w:rsid w:val="2CD752D7"/>
    <w:rsid w:val="2D027EED"/>
    <w:rsid w:val="2DEB4267"/>
    <w:rsid w:val="2E9977AD"/>
    <w:rsid w:val="2F944F64"/>
    <w:rsid w:val="2FA2409E"/>
    <w:rsid w:val="31880862"/>
    <w:rsid w:val="31B60A9D"/>
    <w:rsid w:val="32B035CA"/>
    <w:rsid w:val="33902823"/>
    <w:rsid w:val="33A33367"/>
    <w:rsid w:val="34C41D04"/>
    <w:rsid w:val="34CD617E"/>
    <w:rsid w:val="354A1F97"/>
    <w:rsid w:val="36C927EF"/>
    <w:rsid w:val="378C6660"/>
    <w:rsid w:val="38DE5E51"/>
    <w:rsid w:val="390E539D"/>
    <w:rsid w:val="3C01795F"/>
    <w:rsid w:val="3C4A4143"/>
    <w:rsid w:val="3C5E598F"/>
    <w:rsid w:val="3C8F0E4F"/>
    <w:rsid w:val="3CAD2EC5"/>
    <w:rsid w:val="3CB81CC8"/>
    <w:rsid w:val="3D322E34"/>
    <w:rsid w:val="3D5E1016"/>
    <w:rsid w:val="3FB91BA4"/>
    <w:rsid w:val="3FC22752"/>
    <w:rsid w:val="418879B1"/>
    <w:rsid w:val="41954468"/>
    <w:rsid w:val="41C140D6"/>
    <w:rsid w:val="421630A4"/>
    <w:rsid w:val="432B1A76"/>
    <w:rsid w:val="440C4340"/>
    <w:rsid w:val="44811DC9"/>
    <w:rsid w:val="450E3C66"/>
    <w:rsid w:val="454309A1"/>
    <w:rsid w:val="456D71FA"/>
    <w:rsid w:val="45781C16"/>
    <w:rsid w:val="45C47203"/>
    <w:rsid w:val="45E829E7"/>
    <w:rsid w:val="460C4FB7"/>
    <w:rsid w:val="465E4F22"/>
    <w:rsid w:val="467262F8"/>
    <w:rsid w:val="46F579AB"/>
    <w:rsid w:val="48566E44"/>
    <w:rsid w:val="48593E6F"/>
    <w:rsid w:val="4AFF2E69"/>
    <w:rsid w:val="4BA610FC"/>
    <w:rsid w:val="4C7F3033"/>
    <w:rsid w:val="4CF51C39"/>
    <w:rsid w:val="4E994D7F"/>
    <w:rsid w:val="4ED2701A"/>
    <w:rsid w:val="4F1E4BBE"/>
    <w:rsid w:val="4F3537ED"/>
    <w:rsid w:val="4F8F3889"/>
    <w:rsid w:val="4FFE1B2F"/>
    <w:rsid w:val="51467837"/>
    <w:rsid w:val="52AA5DFE"/>
    <w:rsid w:val="533F6C66"/>
    <w:rsid w:val="544F17E9"/>
    <w:rsid w:val="546D5003"/>
    <w:rsid w:val="54943EAC"/>
    <w:rsid w:val="54C11818"/>
    <w:rsid w:val="58AC5C79"/>
    <w:rsid w:val="58FE24B1"/>
    <w:rsid w:val="59693A9B"/>
    <w:rsid w:val="5A154FE3"/>
    <w:rsid w:val="5AEE4F52"/>
    <w:rsid w:val="5B1D2CCC"/>
    <w:rsid w:val="5B52670E"/>
    <w:rsid w:val="5B625B54"/>
    <w:rsid w:val="5B640509"/>
    <w:rsid w:val="5D006096"/>
    <w:rsid w:val="5D731ABE"/>
    <w:rsid w:val="5DB15592"/>
    <w:rsid w:val="5DFB50B1"/>
    <w:rsid w:val="610A5EBF"/>
    <w:rsid w:val="6178185B"/>
    <w:rsid w:val="617F00E3"/>
    <w:rsid w:val="619F7108"/>
    <w:rsid w:val="626D3847"/>
    <w:rsid w:val="62D41879"/>
    <w:rsid w:val="648A18F5"/>
    <w:rsid w:val="64C30585"/>
    <w:rsid w:val="651C53A6"/>
    <w:rsid w:val="659D6FA9"/>
    <w:rsid w:val="65DC5F2F"/>
    <w:rsid w:val="65F2007E"/>
    <w:rsid w:val="674136F1"/>
    <w:rsid w:val="68085778"/>
    <w:rsid w:val="688B43B5"/>
    <w:rsid w:val="68D3265E"/>
    <w:rsid w:val="69B07B1E"/>
    <w:rsid w:val="69E22ED5"/>
    <w:rsid w:val="6AA821A5"/>
    <w:rsid w:val="6B8A6BF3"/>
    <w:rsid w:val="6BD3613E"/>
    <w:rsid w:val="6BFA1460"/>
    <w:rsid w:val="6C013F77"/>
    <w:rsid w:val="6C181FB4"/>
    <w:rsid w:val="6C464624"/>
    <w:rsid w:val="6C530112"/>
    <w:rsid w:val="6C611252"/>
    <w:rsid w:val="6CCC1A8E"/>
    <w:rsid w:val="6D46310F"/>
    <w:rsid w:val="6FCE2720"/>
    <w:rsid w:val="739402F8"/>
    <w:rsid w:val="74CC0B4E"/>
    <w:rsid w:val="755C76C8"/>
    <w:rsid w:val="76382CBE"/>
    <w:rsid w:val="763E46A7"/>
    <w:rsid w:val="76B47A3E"/>
    <w:rsid w:val="77A91566"/>
    <w:rsid w:val="77E167B8"/>
    <w:rsid w:val="78591F3E"/>
    <w:rsid w:val="78CA1EAE"/>
    <w:rsid w:val="7B3065F7"/>
    <w:rsid w:val="7B8363CD"/>
    <w:rsid w:val="7C3F4445"/>
    <w:rsid w:val="7F111F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7AB7"/>
      <w:u w:val="none"/>
    </w:rPr>
  </w:style>
  <w:style w:type="character" w:styleId="11">
    <w:name w:val="HTML Definition"/>
    <w:basedOn w:val="8"/>
    <w:qFormat/>
    <w:uiPriority w:val="0"/>
    <w:rPr>
      <w:i/>
      <w:color w:val="555555"/>
      <w:sz w:val="21"/>
      <w:szCs w:val="21"/>
      <w:bdr w:val="single" w:color="CCCCCC" w:sz="6" w:space="0"/>
      <w:shd w:val="clear" w:fill="EEEEEE"/>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7">
    <w:name w:val="页眉 Char"/>
    <w:basedOn w:val="8"/>
    <w:link w:val="6"/>
    <w:qFormat/>
    <w:uiPriority w:val="0"/>
    <w:rPr>
      <w:rFonts w:ascii="Calibri" w:hAnsi="Calibri"/>
      <w:kern w:val="2"/>
      <w:sz w:val="18"/>
      <w:szCs w:val="18"/>
    </w:rPr>
  </w:style>
  <w:style w:type="character" w:customStyle="1" w:styleId="18">
    <w:name w:val="页脚 Char"/>
    <w:basedOn w:val="8"/>
    <w:link w:val="5"/>
    <w:qFormat/>
    <w:uiPriority w:val="99"/>
    <w:rPr>
      <w:rFonts w:ascii="Calibri" w:hAnsi="Calibri"/>
      <w:kern w:val="2"/>
      <w:sz w:val="18"/>
      <w:szCs w:val="22"/>
    </w:rPr>
  </w:style>
  <w:style w:type="character" w:customStyle="1" w:styleId="19">
    <w:name w:val="正文文本缩进 Char"/>
    <w:basedOn w:val="8"/>
    <w:link w:val="3"/>
    <w:qFormat/>
    <w:uiPriority w:val="0"/>
    <w:rPr>
      <w:rFonts w:ascii="仿宋_GB2312" w:hAnsi="华文中宋" w:eastAsia="仿宋_GB2312"/>
      <w:sz w:val="32"/>
      <w:szCs w:val="24"/>
    </w:rPr>
  </w:style>
  <w:style w:type="character" w:customStyle="1" w:styleId="20">
    <w:name w:val="actspan"/>
    <w:basedOn w:val="8"/>
    <w:qFormat/>
    <w:uiPriority w:val="0"/>
  </w:style>
  <w:style w:type="character" w:customStyle="1" w:styleId="21">
    <w:name w:val="layui-layer-tabnow"/>
    <w:basedOn w:val="8"/>
    <w:qFormat/>
    <w:uiPriority w:val="0"/>
    <w:rPr>
      <w:bdr w:val="single" w:color="CCCCCC" w:sz="6" w:space="0"/>
      <w:shd w:val="clear" w:fill="FFFFFF"/>
    </w:rPr>
  </w:style>
  <w:style w:type="character" w:customStyle="1" w:styleId="22">
    <w:name w:val="first-child"/>
    <w:basedOn w:val="8"/>
    <w:qFormat/>
    <w:uiPriority w:val="0"/>
  </w:style>
  <w:style w:type="character" w:customStyle="1" w:styleId="23">
    <w:name w:val="actspan2"/>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3</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黄春枚</cp:lastModifiedBy>
  <cp:lastPrinted>2021-07-05T07:47:00Z</cp:lastPrinted>
  <dcterms:modified xsi:type="dcterms:W3CDTF">2021-07-07T03:15:18Z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