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val="en-US" w:eastAsia="zh-CN"/>
        </w:rPr>
        <w:t>）地块位置：惠城区江北</w:t>
      </w:r>
      <w:r>
        <w:rPr>
          <w:rFonts w:hint="default" w:ascii="仿宋_GB2312" w:hAnsi="仿宋_GB2312" w:eastAsia="仿宋_GB2312" w:cs="仿宋_GB2312"/>
          <w:sz w:val="32"/>
          <w:szCs w:val="32"/>
          <w:lang w:val="en-US" w:eastAsia="zh-CN"/>
        </w:rPr>
        <w:t>三新</w:t>
      </w:r>
      <w:r>
        <w:rPr>
          <w:rFonts w:hint="eastAsia" w:ascii="仿宋_GB2312" w:hAnsi="仿宋_GB2312" w:eastAsia="仿宋_GB2312" w:cs="仿宋_GB2312"/>
          <w:sz w:val="32"/>
          <w:szCs w:val="32"/>
          <w:lang w:val="en-US" w:eastAsia="zh-CN"/>
        </w:rPr>
        <w:t>村;</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default" w:ascii="Times New Roman" w:hAnsi="Times New Roman" w:eastAsia="仿宋_GB2312" w:cs="Times New Roman"/>
          <w:kern w:val="2"/>
          <w:sz w:val="32"/>
          <w:szCs w:val="32"/>
          <w:lang w:val="en-US" w:eastAsia="zh-CN"/>
        </w:rPr>
        <w:t>B01-06</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（四）地块范围：平面界址点以宗地图为准，宗地竖向界限以《规划条件告知书》(案卷编号:</w:t>
      </w:r>
      <w:r>
        <w:rPr>
          <w:rFonts w:hint="default" w:ascii="仿宋_GB2312" w:hAnsi="仿宋_GB2312" w:eastAsia="仿宋_GB2312" w:cs="仿宋_GB2312"/>
          <w:sz w:val="32"/>
          <w:szCs w:val="32"/>
          <w:lang w:eastAsia="zh-CN"/>
        </w:rPr>
        <w:t>PB20</w:t>
      </w:r>
      <w:r>
        <w:rPr>
          <w:rFonts w:hint="default" w:ascii="仿宋_GB2312" w:hAnsi="仿宋_GB2312" w:eastAsia="仿宋_GB2312" w:cs="仿宋_GB2312"/>
          <w:sz w:val="32"/>
          <w:szCs w:val="32"/>
          <w:lang w:val="en-US" w:eastAsia="zh-CN"/>
        </w:rPr>
        <w:t>200060</w:t>
      </w:r>
      <w:r>
        <w:rPr>
          <w:rFonts w:hint="eastAsia" w:ascii="仿宋_GB2312" w:hAnsi="仿宋_GB2312" w:eastAsia="仿宋_GB2312" w:cs="仿宋_GB2312"/>
          <w:sz w:val="32"/>
          <w:szCs w:val="32"/>
        </w:rPr>
        <w:t>号) （以下简称“《告知书》”）规定为准；</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w:t>
      </w:r>
      <w:r>
        <w:rPr>
          <w:rFonts w:hint="default" w:ascii="Times New Roman" w:hAnsi="Times New Roman" w:eastAsia="仿宋_GB2312" w:cs="Times New Roman"/>
          <w:color w:val="auto"/>
          <w:kern w:val="2"/>
          <w:sz w:val="32"/>
          <w:szCs w:val="32"/>
          <w:highlight w:val="none"/>
          <w:lang w:val="en-US" w:eastAsia="zh-CN"/>
        </w:rPr>
        <w:t>4045.12</w:t>
      </w:r>
      <w:r>
        <w:rPr>
          <w:rFonts w:hint="eastAsia" w:ascii="仿宋_GB2312" w:hAnsi="仿宋_GB2312" w:eastAsia="仿宋_GB2312" w:cs="仿宋_GB2312"/>
          <w:sz w:val="32"/>
          <w:szCs w:val="32"/>
          <w:lang w:val="en-US" w:eastAsia="zh-CN"/>
        </w:rPr>
        <w:t>平方米；</w:t>
      </w:r>
    </w:p>
    <w:p>
      <w:pPr>
        <w:tabs>
          <w:tab w:val="left" w:pos="3388"/>
        </w:tabs>
        <w:spacing w:line="560" w:lineRule="exact"/>
        <w:jc w:val="lef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地下室宗地使用权面积为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2755.06</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4921.26</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）计容积率建筑面积为：</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15747</w:t>
      </w:r>
      <w:r>
        <w:rPr>
          <w:rFonts w:hint="default" w:ascii="仿宋_GB2312" w:hAnsi="仿宋_GB2312" w:eastAsia="仿宋_GB2312" w:cs="仿宋_GB2312"/>
          <w:sz w:val="32"/>
          <w:szCs w:val="32"/>
        </w:rPr>
        <w:t>（其中</w:t>
      </w:r>
      <w:r>
        <w:rPr>
          <w:rFonts w:hint="default" w:ascii="仿宋_GB2312" w:hAnsi="仿宋_GB2312" w:eastAsia="仿宋_GB2312" w:cs="仿宋_GB2312"/>
          <w:sz w:val="32"/>
          <w:szCs w:val="32"/>
          <w:lang w:eastAsia="zh-CN"/>
        </w:rPr>
        <w:t>行政办公建筑面积</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容积率：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（十）绿地率：</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25</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（十一）建筑密度（%）：</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48</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机动车停车位（个）：</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445（含</w:t>
      </w:r>
      <w:r>
        <w:rPr>
          <w:rFonts w:hint="default" w:ascii="仿宋_GB2312" w:hAnsi="仿宋_GB2312" w:eastAsia="仿宋_GB2312" w:cs="仿宋_GB2312"/>
          <w:sz w:val="32"/>
          <w:szCs w:val="32"/>
          <w:lang w:eastAsia="zh-CN"/>
        </w:rPr>
        <w:t>行政办公</w:t>
      </w:r>
      <w:r>
        <w:rPr>
          <w:rFonts w:hint="default" w:ascii="仿宋_GB2312" w:hAnsi="仿宋_GB2312" w:eastAsia="仿宋_GB2312" w:cs="仿宋_GB2312"/>
          <w:sz w:val="32"/>
          <w:szCs w:val="32"/>
          <w:lang w:val="en-US" w:eastAsia="zh-CN"/>
        </w:rPr>
        <w:t>配套停车位</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地上机械式停车位≥</w:t>
      </w:r>
      <w:r>
        <w:rPr>
          <w:rFonts w:hint="default" w:ascii="仿宋_GB2312" w:hAnsi="仿宋_GB2312" w:eastAsia="仿宋_GB2312" w:cs="仿宋_GB2312"/>
          <w:sz w:val="32"/>
          <w:szCs w:val="32"/>
          <w:lang w:val="en-US" w:eastAsia="zh-CN"/>
        </w:rPr>
        <w:t>390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地上机械式停车位≥</w:t>
      </w:r>
      <w:r>
        <w:rPr>
          <w:rFonts w:hint="default"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p>
    <w:p>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）土地用途为：交通服务场站用地；</w:t>
      </w:r>
    </w:p>
    <w:p>
      <w:pPr>
        <w:tabs>
          <w:tab w:val="left" w:pos="3388"/>
        </w:tabs>
        <w:spacing w:line="560" w:lineRule="exact"/>
        <w:jc w:val="left"/>
        <w:rPr>
          <w:rFonts w:ascii="仿宋_GB2312" w:eastAsia="仿宋_GB231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）土地使用权出让年期为：交通服务场站用地50年；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eastAsia="zh-CN"/>
        </w:rPr>
        <w:t>停车楼、商业及配套设施</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）竞得人在缴清地价款后一个月内办理交地手续，凭《交地确认书》</w:t>
      </w:r>
      <w:r>
        <w:rPr>
          <w:rFonts w:hint="eastAsia" w:ascii="仿宋_GB2312" w:hAnsi="仿宋_GB2312" w:eastAsia="仿宋_GB2312" w:cs="仿宋_GB2312"/>
          <w:sz w:val="32"/>
          <w:szCs w:val="32"/>
          <w:lang w:eastAsia="zh-CN"/>
        </w:rPr>
        <w:t>、《出让合同》和地价款交款凭证等申请办理土地初始登记，领取</w:t>
      </w:r>
      <w:r>
        <w:rPr>
          <w:rFonts w:hint="eastAsia" w:ascii="仿宋_GB2312" w:hAnsi="仿宋_GB2312" w:eastAsia="仿宋_GB2312" w:cs="仿宋_GB2312"/>
          <w:sz w:val="32"/>
          <w:szCs w:val="32"/>
        </w:rPr>
        <w:t xml:space="preserve">《不动产权证书》。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bookmarkStart w:id="8" w:name="_GoBack"/>
      <w:bookmarkEnd w:id="8"/>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6450</w:t>
      </w:r>
      <w:r>
        <w:rPr>
          <w:rFonts w:hint="eastAsia" w:ascii="仿宋_GB2312" w:hAnsi="仿宋_GB2312" w:eastAsia="仿宋_GB2312" w:cs="仿宋_GB2312"/>
          <w:sz w:val="32"/>
          <w:szCs w:val="32"/>
        </w:rPr>
        <w:t>万元（含地价,不含地价溢价部分）。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2"/>
        <w:widowControl w:val="0"/>
        <w:spacing w:line="520" w:lineRule="exact"/>
        <w:jc w:val="both"/>
        <w:rPr>
          <w:rFonts w:hint="default" w:ascii="Times New Roman" w:hAnsi="Times New Roman" w:cs="Times New Roman"/>
          <w:szCs w:val="32"/>
          <w:lang w:eastAsia="zh-CN"/>
        </w:rPr>
      </w:pPr>
      <w:r>
        <w:rPr>
          <w:rFonts w:hint="default" w:ascii="Times New Roman" w:hAnsi="Times New Roman" w:cs="Times New Roman"/>
          <w:szCs w:val="32"/>
          <w:lang w:val="en-US" w:eastAsia="zh-CN"/>
        </w:rPr>
        <w:t>（</w:t>
      </w:r>
      <w:r>
        <w:rPr>
          <w:rFonts w:hint="eastAsia" w:ascii="Times New Roman" w:hAnsi="Times New Roman" w:cs="Times New Roman"/>
          <w:szCs w:val="32"/>
          <w:lang w:val="en-US" w:eastAsia="zh-CN"/>
        </w:rPr>
        <w:t>四</w:t>
      </w:r>
      <w:r>
        <w:rPr>
          <w:rFonts w:hint="default" w:ascii="Times New Roman" w:hAnsi="Times New Roman" w:cs="Times New Roman"/>
          <w:szCs w:val="32"/>
          <w:lang w:val="en-US" w:eastAsia="zh-CN"/>
        </w:rPr>
        <w:t>）</w:t>
      </w:r>
      <w:r>
        <w:rPr>
          <w:rFonts w:hint="default" w:ascii="Times New Roman" w:hAnsi="Times New Roman" w:cs="Times New Roman"/>
          <w:szCs w:val="32"/>
          <w:lang w:eastAsia="zh-CN"/>
        </w:rPr>
        <w:t>竞得人在用地红线内开发建设必须符合城市规划要求，必须按《告知书》（案卷编号：PB20</w:t>
      </w:r>
      <w:r>
        <w:rPr>
          <w:rFonts w:hint="default" w:ascii="Times New Roman" w:hAnsi="Times New Roman" w:cs="Times New Roman"/>
          <w:szCs w:val="32"/>
          <w:lang w:val="en-US" w:eastAsia="zh-CN"/>
        </w:rPr>
        <w:t>200060</w:t>
      </w:r>
      <w:r>
        <w:rPr>
          <w:rFonts w:hint="default" w:ascii="Times New Roman" w:hAnsi="Times New Roman" w:cs="Times New Roman"/>
          <w:szCs w:val="32"/>
          <w:lang w:eastAsia="zh-CN"/>
        </w:rPr>
        <w:t>）规划控制指标要求及有关规定进行规划设计；</w:t>
      </w:r>
    </w:p>
    <w:p>
      <w:pPr>
        <w:spacing w:line="470" w:lineRule="exact"/>
        <w:ind w:firstLine="627" w:firstLineChars="196"/>
        <w:jc w:val="both"/>
        <w:rPr>
          <w:rFonts w:hint="eastAsia" w:ascii="仿宋_GB2312" w:hAnsi="仿宋_GB2312" w:eastAsia="仿宋_GB2312" w:cs="仿宋_GB2312"/>
          <w:sz w:val="32"/>
          <w:szCs w:val="32"/>
        </w:rPr>
      </w:pPr>
      <w:r>
        <w:rPr>
          <w:rFonts w:hint="default" w:ascii="Times New Roman" w:hAnsi="Times New Roman" w:eastAsia="仿宋_GB2312" w:cs="Times New Roman"/>
          <w:kern w:val="0"/>
          <w:sz w:val="32"/>
          <w:szCs w:val="32"/>
          <w:lang w:val="en-US" w:eastAsia="zh-CN" w:bidi="ar-SA"/>
        </w:rPr>
        <w:t xml:space="preserve"> (</w:t>
      </w:r>
      <w:r>
        <w:rPr>
          <w:rFonts w:hint="eastAsia" w:ascii="Times New Roman" w:hAnsi="Times New Roman" w:eastAsia="仿宋_GB2312" w:cs="Times New Roman"/>
          <w:kern w:val="0"/>
          <w:sz w:val="32"/>
          <w:szCs w:val="32"/>
          <w:lang w:val="en-US" w:eastAsia="zh-CN" w:bidi="ar-SA"/>
        </w:rPr>
        <w:t>五</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竞得人须</w:t>
      </w:r>
      <w:r>
        <w:rPr>
          <w:rFonts w:hint="default" w:ascii="Times New Roman" w:hAnsi="Times New Roman" w:eastAsia="仿宋_GB2312" w:cs="Times New Roman"/>
          <w:kern w:val="0"/>
          <w:sz w:val="32"/>
          <w:szCs w:val="32"/>
          <w:lang w:val="en-US" w:eastAsia="zh-CN" w:bidi="ar-SA"/>
        </w:rPr>
        <w:t>负责配建行政办公及其配套停车场，并无偿交给政府。</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330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49</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379</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仟</w:t>
      </w:r>
      <w:r>
        <w:rPr>
          <w:rFonts w:hint="eastAsia" w:ascii="仿宋_GB2312" w:hAnsi="仿宋_GB2312" w:eastAsia="仿宋_GB2312" w:cs="仿宋_GB2312"/>
          <w:sz w:val="32"/>
          <w:szCs w:val="32"/>
          <w:u w:val="single"/>
          <w:lang w:val="en-US" w:eastAsia="zh-CN"/>
        </w:rPr>
        <w:t>陆佰伍拾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1650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rPr>
        <w:t>壹佰万元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ind w:left="320" w:hanging="320" w:hanging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叁佰叁拾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330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49</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柒</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玖</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379</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spacing w:line="560" w:lineRule="exact"/>
        <w:jc w:val="left"/>
        <w:rPr>
          <w:rFonts w:ascii="仿宋_GB2312" w:eastAsia="仿宋_GB2312"/>
          <w:sz w:val="32"/>
          <w:szCs w:val="32"/>
        </w:rPr>
      </w:pPr>
      <w:r>
        <w:rPr>
          <w:rFonts w:hint="eastAsia" w:ascii="仿宋_GB2312" w:eastAsia="仿宋_GB2312"/>
          <w:sz w:val="32"/>
          <w:szCs w:val="32"/>
        </w:rPr>
        <w:t xml:space="preserve">    9、广发银行惠州江北支行。</w:t>
      </w:r>
    </w:p>
    <w:p>
      <w:pPr>
        <w:spacing w:line="560" w:lineRule="exact"/>
        <w:jc w:val="left"/>
        <w:rPr>
          <w:rFonts w:hint="eastAsia" w:ascii="仿宋_GB2312" w:eastAsia="仿宋_GB2312"/>
          <w:sz w:val="32"/>
          <w:szCs w:val="32"/>
        </w:rPr>
      </w:pPr>
      <w:r>
        <w:rPr>
          <w:rFonts w:hint="eastAsia" w:ascii="仿宋_GB2312" w:eastAsia="仿宋_GB2312"/>
          <w:sz w:val="32"/>
          <w:szCs w:val="32"/>
        </w:rPr>
        <w:t xml:space="preserve">   10、中国民生银行股份有限公司惠州分行。</w:t>
      </w:r>
    </w:p>
    <w:p>
      <w:pPr>
        <w:pStyle w:val="6"/>
        <w:keepNext w:val="0"/>
        <w:keepLines w:val="0"/>
        <w:widowControl/>
        <w:suppressLineNumbers w:val="0"/>
        <w:spacing w:line="555" w:lineRule="atLeas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54F511E"/>
    <w:rsid w:val="065D58C0"/>
    <w:rsid w:val="071F73B3"/>
    <w:rsid w:val="077D5D24"/>
    <w:rsid w:val="10152918"/>
    <w:rsid w:val="105A2768"/>
    <w:rsid w:val="10A1573B"/>
    <w:rsid w:val="10B43BC1"/>
    <w:rsid w:val="15BB632B"/>
    <w:rsid w:val="15D340EA"/>
    <w:rsid w:val="1960257D"/>
    <w:rsid w:val="1ED73189"/>
    <w:rsid w:val="28D2352A"/>
    <w:rsid w:val="2AA45603"/>
    <w:rsid w:val="2CA246FC"/>
    <w:rsid w:val="2CD752D7"/>
    <w:rsid w:val="2F944F64"/>
    <w:rsid w:val="31880862"/>
    <w:rsid w:val="38DE5E51"/>
    <w:rsid w:val="390E539D"/>
    <w:rsid w:val="3D322E34"/>
    <w:rsid w:val="454309A1"/>
    <w:rsid w:val="467262F8"/>
    <w:rsid w:val="4CF51C39"/>
    <w:rsid w:val="4FFE1B2F"/>
    <w:rsid w:val="5AEE4F52"/>
    <w:rsid w:val="5B1D2CCC"/>
    <w:rsid w:val="5D006096"/>
    <w:rsid w:val="5DB15592"/>
    <w:rsid w:val="6178185B"/>
    <w:rsid w:val="62D41879"/>
    <w:rsid w:val="64C30585"/>
    <w:rsid w:val="659D6FA9"/>
    <w:rsid w:val="65F2007E"/>
    <w:rsid w:val="68085778"/>
    <w:rsid w:val="688B43B5"/>
    <w:rsid w:val="6B8A6BF3"/>
    <w:rsid w:val="6C013F77"/>
    <w:rsid w:val="6C181FB4"/>
    <w:rsid w:val="77E16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8"/>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Plain Text"/>
    <w:basedOn w:val="1"/>
    <w:qFormat/>
    <w:uiPriority w:val="0"/>
    <w:rPr>
      <w:rFonts w:ascii="宋体" w:hAnsi="Courier New"/>
      <w:kern w:val="0"/>
      <w:sz w:val="32"/>
      <w:szCs w:val="32"/>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7AB7"/>
      <w:u w:val="none"/>
    </w:rPr>
  </w:style>
  <w:style w:type="character" w:styleId="10">
    <w:name w:val="HTML Definition"/>
    <w:basedOn w:val="7"/>
    <w:uiPriority w:val="0"/>
    <w:rPr>
      <w:i/>
    </w:rPr>
  </w:style>
  <w:style w:type="character" w:styleId="11">
    <w:name w:val="Hyperlink"/>
    <w:basedOn w:val="7"/>
    <w:qFormat/>
    <w:uiPriority w:val="0"/>
    <w:rPr>
      <w:color w:val="337AB7"/>
      <w:u w:val="none"/>
    </w:rPr>
  </w:style>
  <w:style w:type="character" w:styleId="12">
    <w:name w:val="HTML Code"/>
    <w:basedOn w:val="7"/>
    <w:qFormat/>
    <w:uiPriority w:val="0"/>
    <w:rPr>
      <w:rFonts w:hint="default" w:ascii="Consolas" w:hAnsi="Consolas" w:eastAsia="Consolas" w:cs="Consolas"/>
      <w:color w:val="C7254E"/>
      <w:sz w:val="21"/>
      <w:szCs w:val="21"/>
      <w:shd w:val="clear" w:fill="F9F2F4"/>
    </w:rPr>
  </w:style>
  <w:style w:type="character" w:styleId="13">
    <w:name w:val="HTML Keyboard"/>
    <w:basedOn w:val="7"/>
    <w:qFormat/>
    <w:uiPriority w:val="0"/>
    <w:rPr>
      <w:rFonts w:ascii="Consolas" w:hAnsi="Consolas" w:eastAsia="Consolas" w:cs="Consolas"/>
      <w:color w:val="FFFFFF"/>
      <w:sz w:val="21"/>
      <w:szCs w:val="21"/>
      <w:shd w:val="clear" w:fill="333333"/>
    </w:rPr>
  </w:style>
  <w:style w:type="character" w:styleId="14">
    <w:name w:val="HTML Sample"/>
    <w:basedOn w:val="7"/>
    <w:uiPriority w:val="0"/>
    <w:rPr>
      <w:rFonts w:hint="default" w:ascii="Consolas" w:hAnsi="Consolas" w:eastAsia="Consolas" w:cs="Consolas"/>
      <w:sz w:val="21"/>
      <w:szCs w:val="21"/>
    </w:rPr>
  </w:style>
  <w:style w:type="character" w:customStyle="1" w:styleId="16">
    <w:name w:val="页眉 Char"/>
    <w:basedOn w:val="7"/>
    <w:link w:val="5"/>
    <w:qFormat/>
    <w:uiPriority w:val="0"/>
    <w:rPr>
      <w:rFonts w:ascii="Calibri" w:hAnsi="Calibri"/>
      <w:kern w:val="2"/>
      <w:sz w:val="18"/>
      <w:szCs w:val="18"/>
    </w:rPr>
  </w:style>
  <w:style w:type="character" w:customStyle="1" w:styleId="17">
    <w:name w:val="页脚 Char"/>
    <w:basedOn w:val="7"/>
    <w:link w:val="4"/>
    <w:qFormat/>
    <w:uiPriority w:val="99"/>
    <w:rPr>
      <w:rFonts w:ascii="Calibri" w:hAnsi="Calibri"/>
      <w:kern w:val="2"/>
      <w:sz w:val="18"/>
      <w:szCs w:val="22"/>
    </w:rPr>
  </w:style>
  <w:style w:type="character" w:customStyle="1" w:styleId="18">
    <w:name w:val="正文文本缩进 Char"/>
    <w:basedOn w:val="7"/>
    <w:link w:val="2"/>
    <w:qFormat/>
    <w:uiPriority w:val="0"/>
    <w:rPr>
      <w:rFonts w:ascii="仿宋_GB2312" w:hAnsi="华文中宋" w:eastAsia="仿宋_GB2312"/>
      <w:sz w:val="32"/>
      <w:szCs w:val="24"/>
    </w:rPr>
  </w:style>
  <w:style w:type="character" w:customStyle="1" w:styleId="19">
    <w:name w:val="actspan"/>
    <w:basedOn w:val="7"/>
    <w:uiPriority w:val="0"/>
  </w:style>
  <w:style w:type="character" w:customStyle="1" w:styleId="20">
    <w:name w:val="layui-layer-tabnow"/>
    <w:basedOn w:val="7"/>
    <w:qFormat/>
    <w:uiPriority w:val="0"/>
    <w:rPr>
      <w:bdr w:val="single" w:color="CCCCCC" w:sz="6" w:space="0"/>
      <w:shd w:val="clear" w:fill="FFFFFF"/>
    </w:rPr>
  </w:style>
  <w:style w:type="character" w:customStyle="1" w:styleId="21">
    <w:name w:val="first-child"/>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刘伟明</cp:lastModifiedBy>
  <cp:lastPrinted>2020-02-12T07:08:00Z</cp:lastPrinted>
  <dcterms:modified xsi:type="dcterms:W3CDTF">2020-10-16T06:48:44Z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