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惠州市国有建设用地使用权网上</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挂牌出让须知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002</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惠城区自然资源局委托，本中心以网上挂牌交易方式出让下列国有建设用地使用权。</w:t>
      </w:r>
      <w:bookmarkStart w:id="0" w:name="99"/>
      <w:bookmarkEnd w:id="0"/>
    </w:p>
    <w:p>
      <w:pPr>
        <w:ind w:firstLine="643" w:firstLineChars="200"/>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（二）地块位置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惠城区汝湖镇仍图南新村</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（三）规划编号</w:t>
      </w:r>
      <w:r>
        <w:rPr>
          <w:rFonts w:hint="eastAsia" w:ascii="仿宋_GB2312" w:hAnsi="仿宋_GB2312" w:eastAsia="仿宋_GB2312" w:cs="仿宋_GB2312"/>
          <w:sz w:val="32"/>
          <w:szCs w:val="32"/>
          <w:lang w:val="en-US" w:eastAsia="zh-CN"/>
        </w:rPr>
        <w:t>：RHNX01-01；</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（四）地块范围：平面界址点以宗地图为准，宗地竖向界限以《</w:t>
      </w:r>
      <w:r>
        <w:rPr>
          <w:rFonts w:hint="eastAsia" w:ascii="仿宋_GB2312" w:hAnsi="仿宋_GB2312" w:eastAsia="仿宋_GB2312" w:cs="仿宋_GB2312"/>
          <w:sz w:val="32"/>
          <w:szCs w:val="32"/>
          <w:lang w:val="en-US" w:eastAsia="zh-CN"/>
        </w:rPr>
        <w:t>规划条件告知书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val="en-US" w:eastAsia="zh-CN"/>
        </w:rPr>
        <w:t>PB20200072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以下简称“《告知书》”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规定为准；</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（五）宗地使用权面积</w:t>
      </w:r>
      <w:r>
        <w:rPr>
          <w:rFonts w:hint="eastAsia" w:ascii="仿宋_GB2312" w:hAnsi="仿宋_GB2312" w:eastAsia="仿宋_GB2312" w:cs="仿宋_GB2312"/>
          <w:sz w:val="32"/>
          <w:szCs w:val="32"/>
          <w:lang w:val="en-US" w:eastAsia="zh-CN"/>
        </w:rPr>
        <w:t>为：5000平方米；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（六）计算指标用地面积为：5000平方米；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w:t>
      </w:r>
      <w:r>
        <w:rPr>
          <w:rFonts w:hint="default" w:ascii="仿宋_GB2312" w:hAnsi="仿宋_GB2312" w:eastAsia="仿宋_GB2312" w:cs="仿宋_GB2312"/>
          <w:sz w:val="32"/>
          <w:szCs w:val="32"/>
          <w:lang w:val="en-US" w:eastAsia="zh-CN"/>
        </w:rPr>
        <w:t>6000-12500平方米</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（八）土地用途为：一类工业用地；</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（九）土地使用权出让年期为：工业用地50年；</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（十）容积率为：1.2-2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（十一）绿地率为: </w:t>
      </w:r>
      <w:r>
        <w:rPr>
          <w:rFonts w:hint="default" w:ascii="仿宋_GB2312" w:hAnsi="仿宋_GB2312" w:eastAsia="仿宋_GB2312" w:cs="仿宋_GB2312"/>
          <w:sz w:val="32"/>
          <w:szCs w:val="32"/>
          <w:lang w:val="en-US" w:eastAsia="zh-CN"/>
        </w:rPr>
        <w:t>15-20</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（十二）建筑密度为: ≥</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（十三）机动车停车位配建标准：每100平方米计容积率建筑面积≥0.2个；</w:t>
      </w: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四）适建性：一类工业及配套设施；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）动工及竣工时间：该地块的动工时间为地块交付之日起一年内，竣工时间为动工之日起三年内（因不可抗拒因素除外）；</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）本地块交付时间为《国有土地使用权出让合同》签订之日。</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1.03亿</w:t>
      </w:r>
      <w:r>
        <w:rPr>
          <w:rFonts w:hint="eastAsia" w:ascii="仿宋_GB2312" w:hAnsi="仿宋_GB2312" w:eastAsia="仿宋_GB2312" w:cs="仿宋_GB2312"/>
          <w:sz w:val="32"/>
          <w:szCs w:val="32"/>
        </w:rPr>
        <w:t>元（含地价）。</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ind w:firstLine="320" w:firstLineChars="100"/>
        <w:rPr>
          <w:rFonts w:hint="eastAsia" w:ascii="仿宋_GB2312" w:hAnsi="宋体" w:eastAsia="仿宋_GB2312" w:cs="宋体"/>
          <w:kern w:val="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宋体" w:eastAsia="仿宋_GB2312" w:cs="宋体"/>
          <w:kern w:val="0"/>
          <w:sz w:val="32"/>
          <w:szCs w:val="32"/>
          <w:lang w:eastAsia="zh-CN"/>
        </w:rPr>
        <w:t>竞</w:t>
      </w:r>
      <w:r>
        <w:rPr>
          <w:rFonts w:hint="eastAsia" w:ascii="仿宋_GB2312" w:hAnsi="宋体" w:eastAsia="仿宋_GB2312" w:cs="宋体"/>
          <w:kern w:val="0"/>
          <w:sz w:val="32"/>
          <w:szCs w:val="32"/>
          <w:lang w:val="en-US" w:eastAsia="zh-CN"/>
        </w:rPr>
        <w:t>买人须</w:t>
      </w:r>
      <w:r>
        <w:rPr>
          <w:rFonts w:hint="eastAsia" w:ascii="仿宋_GB2312" w:hAnsi="宋体" w:eastAsia="仿宋_GB2312" w:cs="宋体"/>
          <w:kern w:val="0"/>
          <w:sz w:val="32"/>
          <w:szCs w:val="32"/>
          <w:lang w:eastAsia="zh-CN"/>
        </w:rPr>
        <w:t>提</w:t>
      </w:r>
      <w:r>
        <w:rPr>
          <w:rFonts w:hint="eastAsia" w:ascii="仿宋_GB2312" w:hAnsi="宋体" w:eastAsia="仿宋_GB2312" w:cs="宋体"/>
          <w:kern w:val="0"/>
          <w:sz w:val="32"/>
          <w:szCs w:val="32"/>
          <w:lang w:val="en-US" w:eastAsia="zh-CN"/>
        </w:rPr>
        <w:t>交农业主管部门出具的</w:t>
      </w:r>
      <w:r>
        <w:rPr>
          <w:rFonts w:hint="eastAsia" w:ascii="仿宋_GB2312" w:hAnsi="宋体" w:eastAsia="仿宋_GB2312" w:cs="宋体"/>
          <w:kern w:val="0"/>
          <w:sz w:val="32"/>
          <w:szCs w:val="32"/>
          <w:lang w:eastAsia="zh-CN"/>
        </w:rPr>
        <w:t>属</w:t>
      </w:r>
      <w:r>
        <w:rPr>
          <w:rFonts w:hint="eastAsia" w:ascii="仿宋_GB2312" w:hAnsi="宋体" w:eastAsia="仿宋_GB2312" w:cs="宋体"/>
          <w:kern w:val="0"/>
          <w:sz w:val="32"/>
          <w:szCs w:val="32"/>
          <w:lang w:val="en-US" w:eastAsia="zh-CN"/>
        </w:rPr>
        <w:t>乡村产业项目</w:t>
      </w:r>
      <w:r>
        <w:rPr>
          <w:rFonts w:hint="eastAsia" w:ascii="仿宋_GB2312" w:hAnsi="宋体" w:eastAsia="仿宋_GB2312" w:cs="宋体"/>
          <w:kern w:val="0"/>
          <w:sz w:val="32"/>
          <w:szCs w:val="32"/>
          <w:lang w:eastAsia="zh-CN"/>
        </w:rPr>
        <w:t>的相关文件。</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该地权利清晰，安置补偿落实到位，没有法律经济纠纷，具备动工开发所必须的基本条件。</w:t>
      </w:r>
    </w:p>
    <w:p>
      <w:pPr>
        <w:ind w:firstLine="320" w:firstLineChars="100"/>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 w:eastAsia="仿宋_GB2312"/>
          <w:sz w:val="32"/>
          <w:szCs w:val="32"/>
        </w:rPr>
        <w:t>竞得人在用地红线内开发建设必须符合城市规划要求，必须按</w:t>
      </w:r>
      <w:r>
        <w:rPr>
          <w:rFonts w:hint="eastAsia" w:ascii="Times New Roman" w:hAnsi="Times New Roman" w:eastAsia="仿宋_GB2312" w:cs="Times New Roman"/>
          <w:sz w:val="32"/>
          <w:szCs w:val="32"/>
          <w:lang w:val="en-US" w:eastAsia="zh-CN"/>
        </w:rPr>
        <w:t>《建设用地规划条件》（案卷编号：PB20200072号)</w:t>
      </w:r>
      <w:r>
        <w:rPr>
          <w:rFonts w:hint="eastAsia" w:ascii="仿宋_GB2312" w:hAnsi="仿宋" w:eastAsia="仿宋_GB2312"/>
          <w:sz w:val="32"/>
          <w:szCs w:val="32"/>
        </w:rPr>
        <w:t>规划控制指标要求及</w:t>
      </w:r>
      <w:r>
        <w:rPr>
          <w:rFonts w:hint="eastAsia" w:ascii="仿宋_GB2312" w:hAnsi="仿宋" w:eastAsia="仿宋_GB2312"/>
          <w:sz w:val="32"/>
          <w:szCs w:val="32"/>
          <w:lang w:val="en-US" w:eastAsia="zh-CN"/>
        </w:rPr>
        <w:t>上述建设方案</w:t>
      </w:r>
      <w:r>
        <w:rPr>
          <w:rFonts w:hint="eastAsia" w:ascii="仿宋_GB2312" w:hAnsi="仿宋" w:eastAsia="仿宋_GB2312"/>
          <w:sz w:val="32"/>
          <w:szCs w:val="32"/>
        </w:rPr>
        <w:t>进行规划设计。</w:t>
      </w:r>
    </w:p>
    <w:p>
      <w:pPr>
        <w:ind w:firstLine="320" w:firstLineChars="1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（六）项目规划建设方案</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所报总平面图的主要技术经济指标：规划布局2栋厂房、1栋综合楼，计算指标用地面积5000平方米，建筑层数地上最高13层（建筑高度最高51.1米，使用功能为厂房），计容积率总建筑面积11562.72平方米（其中行政办公配套建筑面积2166.93平方米，占比18.7%），容积率2.31，建筑密度30%（其中行政办公设施用地面积310.25平方米，占比6.2%），绿地率18%，停车位24个（地上24个），各项指标满足《建设用地规划设计条件》（PB20200072)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cs="宋体"/>
          <w:color w:val="auto"/>
          <w:kern w:val="0"/>
          <w:sz w:val="32"/>
          <w:szCs w:val="32"/>
          <w:lang w:val="en-US" w:eastAsia="zh-CN"/>
        </w:rPr>
        <w:t>2.建设项目平面布置图详见附件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（七）招商条件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kern w:val="0"/>
          <w:sz w:val="32"/>
          <w:szCs w:val="32"/>
        </w:rPr>
        <w:t>项目投资强度不低于20600元/平方米，土地产出率（营业收入）不低于5000元/平方米/年。其中，土地产出率及税收产出，在项目投产后3年内逐年考核，3年内的平均值不得低于上述标准。项目须在正式签订建设用地成交确认书后3个月内动工建设，2年内竣工。</w:t>
      </w:r>
      <w:r>
        <w:rPr>
          <w:rFonts w:hint="eastAsia" w:ascii="仿宋_GB2312" w:hAnsi="宋体" w:eastAsia="仿宋_GB2312" w:cs="宋体"/>
          <w:color w:val="auto"/>
          <w:kern w:val="0"/>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w:t>
      </w:r>
      <w:r>
        <w:rPr>
          <w:rFonts w:hint="eastAsia" w:ascii="仿宋_GB2312" w:hAnsi="宋体" w:eastAsia="仿宋_GB2312" w:cs="宋体"/>
          <w:kern w:val="0"/>
          <w:sz w:val="32"/>
          <w:szCs w:val="32"/>
        </w:rPr>
        <w:t>汝湖镇政府</w:t>
      </w:r>
      <w:r>
        <w:rPr>
          <w:rFonts w:hint="eastAsia" w:ascii="仿宋_GB2312" w:hAnsi="宋体" w:eastAsia="仿宋_GB2312" w:cs="宋体"/>
          <w:color w:val="auto"/>
          <w:kern w:val="0"/>
          <w:sz w:val="32"/>
          <w:szCs w:val="32"/>
        </w:rPr>
        <w:t>提交项目投资计划书和时间安排表，并按月向</w:t>
      </w:r>
      <w:r>
        <w:rPr>
          <w:rFonts w:hint="eastAsia" w:ascii="仿宋_GB2312" w:hAnsi="宋体" w:eastAsia="仿宋_GB2312" w:cs="宋体"/>
          <w:kern w:val="0"/>
          <w:sz w:val="32"/>
          <w:szCs w:val="32"/>
        </w:rPr>
        <w:t>汝湖镇政府</w:t>
      </w:r>
      <w:r>
        <w:rPr>
          <w:rFonts w:hint="eastAsia" w:ascii="仿宋_GB2312" w:hAnsi="宋体" w:eastAsia="仿宋_GB2312" w:cs="宋体"/>
          <w:color w:val="auto"/>
          <w:kern w:val="0"/>
          <w:sz w:val="32"/>
          <w:szCs w:val="32"/>
        </w:rPr>
        <w:t>书面报告项目进展情况，直至项目投产。</w:t>
      </w:r>
    </w:p>
    <w:p>
      <w:pPr>
        <w:pageBreakBefore w:val="0"/>
        <w:kinsoku/>
        <w:wordWrap/>
        <w:overflowPunct/>
        <w:topLinePunct w:val="0"/>
        <w:autoSpaceDE/>
        <w:autoSpaceDN/>
        <w:bidi w:val="0"/>
        <w:adjustRightInd/>
        <w:snapToGrid/>
        <w:spacing w:line="52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竞得人需与汝湖镇政府签订《惠城区工业项目土地建设和使用监管协议书》并完成监管协议公证手续。</w:t>
      </w:r>
    </w:p>
    <w:p>
      <w:pPr>
        <w:pageBreakBefore w:val="0"/>
        <w:kinsoku/>
        <w:wordWrap/>
        <w:overflowPunct/>
        <w:topLinePunct w:val="0"/>
        <w:autoSpaceDE/>
        <w:autoSpaceDN/>
        <w:bidi w:val="0"/>
        <w:adjustRightInd/>
        <w:snapToGrid/>
        <w:spacing w:line="520" w:lineRule="exact"/>
        <w:ind w:firstLine="320" w:firstLineChars="100"/>
        <w:rPr>
          <w:rFonts w:hint="eastAsia"/>
        </w:rPr>
      </w:pPr>
      <w:r>
        <w:rPr>
          <w:rFonts w:hint="eastAsia" w:ascii="仿宋_GB2312" w:hAnsi="仿宋" w:eastAsia="仿宋_GB2312"/>
          <w:sz w:val="32"/>
          <w:szCs w:val="32"/>
          <w:lang w:val="en-US" w:eastAsia="zh-CN"/>
        </w:rPr>
        <w:t>（八）该宗地作为乡村产业项目及其配套的基础设施和公共服务设施用地，竞得单位需在签订《国有建设用地交地确认书》前，提供由农业主管部门出具的属乡村产业项目的相关文件。</w:t>
      </w:r>
    </w:p>
    <w:p>
      <w:pPr>
        <w:pStyle w:val="2"/>
        <w:numPr>
          <w:ilvl w:val="0"/>
          <w:numId w:val="0"/>
        </w:num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p>
    <w:p>
      <w:pPr>
        <w:numPr>
          <w:ilvl w:val="0"/>
          <w:numId w:val="0"/>
        </w:num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五、竞买资格及要求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中华人民共和国境内外的法人和其他组织（除法律法规另有规定外），均可申请参加竞买。申请人可以单独申请，也可以联合申请。申请人还应具备下列条件：</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按时，足额交纳竞买保证金。该宗地竞买保证金为</w:t>
      </w:r>
      <w:r>
        <w:rPr>
          <w:rFonts w:hint="eastAsia" w:ascii="仿宋_GB2312" w:hAnsi="仿宋_GB2312" w:eastAsia="仿宋_GB2312" w:cs="仿宋_GB2312"/>
          <w:sz w:val="32"/>
          <w:szCs w:val="32"/>
          <w:lang w:val="en-US" w:eastAsia="zh-CN"/>
        </w:rPr>
        <w:t>127.5</w:t>
      </w:r>
      <w:r>
        <w:rPr>
          <w:rFonts w:hint="eastAsia" w:ascii="仿宋_GB2312" w:hAnsi="仿宋_GB2312" w:eastAsia="仿宋_GB2312" w:cs="仿宋_GB2312"/>
          <w:sz w:val="32"/>
          <w:szCs w:val="32"/>
        </w:rPr>
        <w:t>万元民币。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）申请人及其控股股东存在下列行为之一的，不得参与上述地块竞买活动：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六、违约及处理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竞得人缴交的保证金中按成交价的20%转作定金.竞得人有下列行为之一的，视为违约，取消竞得人资格，定金不予退还,并由有关部门依法处理;造成损失的，竞得人还应依法承担赔偿责任：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（二）采取行贿、恶意串通等非法手段竞得的。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（三）竞得人以其他非法手段竞得的。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（四）竞得人逾期或拒绝签订《成交确认书》的。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（五）竞得人逾期或拒绝签订《出让合同》的。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（七）构成违约责任的其他行为。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肆佰贰拾伍万元整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425</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八、本次网上挂牌出让活动有关时间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网上挂牌时间为10个工作日，不包括法定节假日。具体如下：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日10时。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（四）网上挂牌报价时间：网上挂牌起止时间内。</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1、《惠州市国有建设用地使用权和矿业权电子挂牌交易规则》；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2、《惠州市国有建设用地使用权网上挂牌交易操作说明》；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3、网上挂牌出让公告；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4、挂牌出让地块现状图；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5、惠州市国有建设用地使用权网上挂牌出让须知；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6、竞买申请书（样本）；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7、惠州市公共资源交易中心土地与矿业网上挂牌交易成交通知书（样本）；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8、《国有建设用地使用权出让合同》（以下简称“出让合同”）样本；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10、附件。</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十二、竞买保证金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ind w:left="17" w:leftChars="8" w:firstLine="617"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时整，竞买保证金为人民币</w:t>
      </w:r>
      <w:r>
        <w:rPr>
          <w:rFonts w:hint="eastAsia" w:ascii="仿宋_GB2312" w:hAnsi="仿宋_GB2312" w:eastAsia="仿宋_GB2312" w:cs="仿宋_GB2312"/>
          <w:sz w:val="32"/>
          <w:szCs w:val="32"/>
          <w:u w:val="single"/>
          <w:lang w:val="en-US" w:eastAsia="zh-CN"/>
        </w:rPr>
        <w:t>壹佰贰拾柒万伍仟</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127.5</w:t>
      </w:r>
      <w:r>
        <w:rPr>
          <w:rFonts w:hint="eastAsia" w:ascii="仿宋_GB2312" w:hAnsi="仿宋_GB2312" w:eastAsia="仿宋_GB2312" w:cs="仿宋_GB2312"/>
          <w:sz w:val="32"/>
          <w:szCs w:val="32"/>
        </w:rPr>
        <w:t>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（四）跨地区或跨行转账的竞买人，需预足资金的在途时间，以免影响竞买人及时取得竞买资格。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（五）竞买保证金到账时间以网上挂牌交易系统颁发《保证金到账通知书》为准。</w:t>
      </w:r>
    </w:p>
    <w:p>
      <w:pPr>
        <w:ind w:left="0" w:leftChars="0" w:firstLine="537" w:firstLineChars="16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（六）竞买保证金开户单位：惠州市公共资源交易中</w:t>
      </w:r>
      <w:r>
        <w:rPr>
          <w:rFonts w:hint="eastAsia" w:ascii="仿宋_GB2312" w:hAnsi="仿宋_GB2312" w:eastAsia="仿宋_GB2312" w:cs="仿宋_GB2312"/>
          <w:sz w:val="32"/>
          <w:szCs w:val="32"/>
          <w:lang w:val="en-US" w:eastAsia="zh-CN"/>
        </w:rPr>
        <w:t>心</w:t>
      </w:r>
    </w:p>
    <w:p>
      <w:pPr>
        <w:ind w:left="0" w:leftChars="0" w:firstLine="537" w:firstLineChars="16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（七）开户银行：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1、中国建设银行惠州广场支行。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3、中国工商银行股份有限公司惠州富力国际中心支行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5、中信银行股份有限公司惠州分行。(备注:中信银行股份有限公司惠州分行本行转帐须到银行柜面办理)。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6、惠州市农村商业银行股份有限公司惠城支行。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7、交通银行惠州分行。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中国光大银行股份有限公司惠州分行。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（八）保证金账号：网上挂牌交易系统随机产生子账号。</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十三、网上报价规则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（一）本次网上挂牌以增价方式进行报价，每次加价幅度为本须知规定增价幅度的整数倍。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（二）竞买人的首次报价不低于起始价，此后的竞买人报价须高于报价当时的最新网上挂牌价格，并以增价幅度的整数倍加价。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（三）竞买人通过网上挂牌交易提交的报价一经报出，不得撤回。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（五）在报价期内，竞买人必须进行一次有效报价，才能参加网上限时竞价。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（六）竞买人报价有下列情形之一的，为无效报价：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1、报价未在网上挂牌期限内收到的。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2、报价因竞买人网络故障未在网上挂牌报价期限内收到的。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3、报价不符合报价规则的。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4、报价低于网上挂牌起始价的。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十四、系统操作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本中心网上挂牌交易系统</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十五、网上挂牌程序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（一）公布网上挂牌信息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（二）申请竞买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（三）交纳保证金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1、网上挂牌交易从网上挂牌起始时间起开始接受报价。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2、办理好数字证书、按时足额交付竞买保证金并经网上挂牌交易系统确认的竞买人通过网上挂牌交易系统进行报价。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3、网上挂牌交易系统对符合规定的报价予以确认，并更新显示当前报价。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4、网上挂牌交易系统继续接受新的报价。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5、网上挂牌报价规则见《须知》第十三条。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网上挂牌截止由网上挂牌交易系统自动确定。在公告规定的网上挂牌截止时间，网上挂牌交易系统将显示最高报价，并询问竞买人是否愿意继续竞价（限时竞价）。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1、网上挂牌交易系统将在网上挂牌截止时间自动确定网上挂牌截止。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2、网上挂牌交易系统显示最高报价，并询问竞买人是否愿意继续竞价。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4、有竞买人表示愿意继续竞价的，网上挂牌交易系统自动进入网上限时竞价程序。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5、经网上挂牌交易系统询问完毕后，没有竞买人表示愿意继续竞价的，网上挂牌交易系统按下列规定确定网上挂牌结果：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（1）最高报价高于或等于起始价的，网上挂牌交易系统显示网上挂牌成交，最高报价的出价人为竞得人。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（2）无人应价的，网上挂牌交易显示网上挂牌不成交。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2、5分钟限时竞价内没有新的报价，网上挂牌交易系统将自动关闭报价通道，当前最高报价为最终报价，网上挂牌交易系统确认最高报价者为竞得人。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3、在网上限时竞价中无人报价的，以网上挂牌截止时出价最高者为竞得人，但低于网上挂牌交易底价者除外。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1、网上挂牌交易结束后，竞得人应当自行下载打印《竞买申请书》、《竞价结果通知书》并盖章。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2、竞得人应当在网上挂牌交易结果公布之日起5个工作日内持下列有关纸质材料到本中心进行资格审查并签订《成交确认书》：</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（4）转帐凭证复印件（加盖公章）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（5）申请竞买人有效的《营业执照》副本复印件（加盖公章）（二份）。</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pStyle w:val="2"/>
        <w:ind w:left="0" w:leftChars="0" w:firstLine="640" w:firstLineChars="200"/>
        <w:rPr>
          <w:rFonts w:hint="eastAsia" w:eastAsia="仿宋_GB231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）《惠城区工业项目土地建设和使用监管协议书》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（9）竞买人须提交农业主管部门出具的属乡村产业项目的相关文件。</w:t>
      </w:r>
    </w:p>
    <w:p>
      <w:pPr>
        <w:ind w:firstLine="640" w:firstLineChars="200"/>
        <w:jc w:val="left"/>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竞买人如需保存上述竞买报名资料应自留备份，本中心不予退还。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上述文件中，申请书必须用中文书写，其他文件可以使用其它语言，但必须附中文译本，所有文件的解释以中文译本为准。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（八）网上挂牌出让结果公示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十六、注意事项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土地网上挂牌实行资格后审，不能通过资格审查的竞得人无效，不予签订《惠州市国有建设用地使用权电子挂牌交易成交确认书》（以下简称《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（五）确定竞得人后，竞得人持《惠州市公共资源交易中心网上挂牌竞价结果通知书》以及参加本宗地网上挂牌交易的所须资料到惠州市公共资源交易中心土地矿业交易部申办相关成交确认手续。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《惠州市公共资源交易中心网上挂牌竞价结果通知书》对挂牌人和竞得人具有法律效力，挂牌人改变网上挂牌结果的，或者竞得人放弃竞得宗地的，应当承担相应法律责任。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得人缴纳的竞买保证金，网上挂牌成交后，竞得人应到我中心办理保证金转付地价款手续(保证金中按成交价款的20%转作受让地块的定金）。未竞得人缴交的竞买保证金，在网上挂牌活动结束后5个工作日内，带齐相关资料（《保证金到帐通知书》及进账单等）到本中心退还保证金，不计利息。</w:t>
      </w:r>
    </w:p>
    <w:p>
      <w:pPr>
        <w:ind w:firstLine="640" w:firstLineChars="200"/>
        <w:rPr>
          <w:rFonts w:ascii="Calibri" w:eastAsia="宋体"/>
          <w:kern w:val="0"/>
          <w:sz w:val="24"/>
        </w:rPr>
      </w:pPr>
      <w:r>
        <w:rPr>
          <w:rFonts w:hint="eastAsia" w:ascii="仿宋_GB2312" w:eastAsia="仿宋_GB2312"/>
          <w:sz w:val="32"/>
          <w:szCs w:val="32"/>
        </w:rPr>
        <w:t>保证金少于成交价20%的，不足部分由竞得人在签订《成交确认书》之日起5个工作日内付清。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竞得人签订《国有建设用地使用权网上挂牌成交确认书》后，竞买保证金抵作土地出让价款，成交价款余款在签订《出让合同》之日起30日内一次性付清，逾期未缴纳的，按合同有关规定处理。《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避免网络延迟问题，竞买人首次出价应在网上挂牌截止前10分钟出价，以防止网上挂牌交易无法及时接收到报价的情况发生。5分钟倒计时竞价期间，请不要在最后时段报价，以防网络延时造成报价提交不成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（九）有下列情形之一的，本中心将暂停、中止或终止网上挂牌交易活动：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1、网上挂牌交易系统受到网络恶意入侵的。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2、因网上挂牌交易系统遭受破坏或发生电力、网络故障等不可抗力因素，导致网上挂牌交易系统不能正常运行的。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3、网上挂牌交易委托人根据有关规定要求暂停、中止或终止网上挂牌交易活动的。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4、涉及土地或矿业权纠纷，不能及时解决的。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5、司法机关要求暂停、中止或终止网上挂牌交易活动的。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6、市自然资源管理部门认为应当暂停、中止或终止网上挂牌交易活动的其他情形。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（十）网上挂牌成交价即为该幅地块的总地价款，竞得人除支付成交价款外，还需支付契税、印花税等有关费用。</w:t>
      </w:r>
    </w:p>
    <w:p>
      <w:pPr>
        <w:ind w:firstLine="640" w:firstLineChars="200"/>
      </w:pPr>
      <w:r>
        <w:rPr>
          <w:rFonts w:hint="eastAsia" w:ascii="仿宋_GB2312" w:hAnsi="仿宋_GB2312" w:eastAsia="仿宋_GB2312" w:cs="仿宋_GB2312"/>
          <w:sz w:val="32"/>
          <w:szCs w:val="32"/>
        </w:rPr>
        <w:t>（十一）该宗地使用网上挂牌方式出让，</w:t>
      </w:r>
      <w:r>
        <w:rPr>
          <w:rFonts w:hint="eastAsia" w:ascii="仿宋_GB2312" w:eastAsia="仿宋_GB2312"/>
          <w:sz w:val="32"/>
          <w:szCs w:val="32"/>
        </w:rPr>
        <w:t>交易全程适用《惠州市国有建设用地使用权和矿业权电子挂牌交易规则》</w:t>
      </w:r>
      <w:r>
        <w:rPr>
          <w:rFonts w:hint="eastAsia" w:ascii="仿宋_GB2312" w:hAnsi="仿宋_GB2312" w:eastAsia="仿宋_GB2312" w:cs="仿宋_GB2312"/>
          <w:sz w:val="32"/>
          <w:szCs w:val="32"/>
        </w:rPr>
        <w:t>（惠府〔2014〕167号）。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（十二）竞得人与出让人签订《出让合同》后，应当按出让合同约定支付网上挂牌成交价款。竞得人付清全部网上挂牌成交价款后，依法申请办理土地登记，领取《不动产权证书》。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（十三）网上挂牌不成交的，应当按规定由委托方和本中心重新组织出让。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（十四）本中心认为需要对网上挂牌出让须知、公告及相关交易文件作出修改、补充时，将通过原公告发布渠道公告，不作另行通知。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（十五）本须知及公告涉及的时间期限，以惠州市公共资源交易中心土地与矿业网上挂牌交易系统服务器的时间为准。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（十六）竞买人在本次网上挂牌交易过程中与惠州市公共资源交易中心发生任何争议，由双方协商。协商不成的可依法提交惠州市仲裁机构仲裁解决。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（十七）本中心对本《须知》有解释权。未尽事宜依照《招标拍卖挂牌出让国有土地使用权规范》办理。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惠州市公共资源交易中心  </w:t>
      </w:r>
    </w:p>
    <w:p>
      <w:pPr>
        <w:wordWrap w:val="0"/>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bookmarkStart w:id="3" w:name="_GoBack"/>
      <w:bookmarkEnd w:id="3"/>
      <w:r>
        <w:rPr>
          <w:rFonts w:hint="eastAsia" w:ascii="仿宋_GB2312" w:hAnsi="仿宋_GB2312" w:eastAsia="仿宋_GB2312" w:cs="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81659"/>
      <w:docPartObj>
        <w:docPartGallery w:val="autotext"/>
      </w:docPartObj>
    </w:sdtPr>
    <w:sdtContent>
      <w:p>
        <w:pPr>
          <w:pStyle w:val="4"/>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EB677C"/>
    <w:rsid w:val="0002672C"/>
    <w:rsid w:val="000302E4"/>
    <w:rsid w:val="00031CCA"/>
    <w:rsid w:val="00050DF1"/>
    <w:rsid w:val="000752D8"/>
    <w:rsid w:val="00084498"/>
    <w:rsid w:val="000855C0"/>
    <w:rsid w:val="000929F7"/>
    <w:rsid w:val="000A42CD"/>
    <w:rsid w:val="000A65CE"/>
    <w:rsid w:val="000C5AEA"/>
    <w:rsid w:val="000E6C20"/>
    <w:rsid w:val="000F397F"/>
    <w:rsid w:val="00104D0E"/>
    <w:rsid w:val="0011092C"/>
    <w:rsid w:val="00111FAC"/>
    <w:rsid w:val="001204DF"/>
    <w:rsid w:val="001656EA"/>
    <w:rsid w:val="00187389"/>
    <w:rsid w:val="00192383"/>
    <w:rsid w:val="00195C5B"/>
    <w:rsid w:val="001C073A"/>
    <w:rsid w:val="001C2329"/>
    <w:rsid w:val="001E7828"/>
    <w:rsid w:val="00212B62"/>
    <w:rsid w:val="00217790"/>
    <w:rsid w:val="00250D4E"/>
    <w:rsid w:val="002778C7"/>
    <w:rsid w:val="002A741E"/>
    <w:rsid w:val="002D00AC"/>
    <w:rsid w:val="002F060E"/>
    <w:rsid w:val="002F2591"/>
    <w:rsid w:val="0030191F"/>
    <w:rsid w:val="00305BDD"/>
    <w:rsid w:val="00310DFA"/>
    <w:rsid w:val="00313870"/>
    <w:rsid w:val="0032160A"/>
    <w:rsid w:val="00326B6D"/>
    <w:rsid w:val="00327A98"/>
    <w:rsid w:val="00335A17"/>
    <w:rsid w:val="00363E41"/>
    <w:rsid w:val="00392954"/>
    <w:rsid w:val="003A7D19"/>
    <w:rsid w:val="0040773F"/>
    <w:rsid w:val="00445607"/>
    <w:rsid w:val="004919C6"/>
    <w:rsid w:val="00492998"/>
    <w:rsid w:val="004A77B5"/>
    <w:rsid w:val="004B265D"/>
    <w:rsid w:val="004C1427"/>
    <w:rsid w:val="00562228"/>
    <w:rsid w:val="00587C1C"/>
    <w:rsid w:val="005B6B94"/>
    <w:rsid w:val="005E4B69"/>
    <w:rsid w:val="00615740"/>
    <w:rsid w:val="006B13D9"/>
    <w:rsid w:val="006B36E6"/>
    <w:rsid w:val="006B4DCB"/>
    <w:rsid w:val="006E2333"/>
    <w:rsid w:val="006F3CE4"/>
    <w:rsid w:val="00752D3D"/>
    <w:rsid w:val="007622DB"/>
    <w:rsid w:val="00770058"/>
    <w:rsid w:val="00773904"/>
    <w:rsid w:val="007A1844"/>
    <w:rsid w:val="007F05F1"/>
    <w:rsid w:val="00803BC3"/>
    <w:rsid w:val="00826D3A"/>
    <w:rsid w:val="00831620"/>
    <w:rsid w:val="0084509F"/>
    <w:rsid w:val="008475AE"/>
    <w:rsid w:val="008534B6"/>
    <w:rsid w:val="008709FA"/>
    <w:rsid w:val="00874031"/>
    <w:rsid w:val="008A764B"/>
    <w:rsid w:val="008C09CA"/>
    <w:rsid w:val="008C7B6B"/>
    <w:rsid w:val="008D7A86"/>
    <w:rsid w:val="00902BED"/>
    <w:rsid w:val="00933481"/>
    <w:rsid w:val="00946A82"/>
    <w:rsid w:val="0095754F"/>
    <w:rsid w:val="00957F2E"/>
    <w:rsid w:val="009A0E85"/>
    <w:rsid w:val="009A28DD"/>
    <w:rsid w:val="009A4204"/>
    <w:rsid w:val="00A45ECD"/>
    <w:rsid w:val="00A51D7C"/>
    <w:rsid w:val="00A814F3"/>
    <w:rsid w:val="00AB60A4"/>
    <w:rsid w:val="00AD14AE"/>
    <w:rsid w:val="00AF6441"/>
    <w:rsid w:val="00B117FE"/>
    <w:rsid w:val="00B11C63"/>
    <w:rsid w:val="00B40DA1"/>
    <w:rsid w:val="00B54E2E"/>
    <w:rsid w:val="00B8145D"/>
    <w:rsid w:val="00B83114"/>
    <w:rsid w:val="00B91855"/>
    <w:rsid w:val="00B97217"/>
    <w:rsid w:val="00BA61A4"/>
    <w:rsid w:val="00BC08A0"/>
    <w:rsid w:val="00C12E89"/>
    <w:rsid w:val="00C61F75"/>
    <w:rsid w:val="00C76EFB"/>
    <w:rsid w:val="00C77173"/>
    <w:rsid w:val="00C93D8B"/>
    <w:rsid w:val="00C968C7"/>
    <w:rsid w:val="00CA2DA5"/>
    <w:rsid w:val="00CB604F"/>
    <w:rsid w:val="00CC75DA"/>
    <w:rsid w:val="00CE5351"/>
    <w:rsid w:val="00CE717B"/>
    <w:rsid w:val="00CF0C5C"/>
    <w:rsid w:val="00CF43E2"/>
    <w:rsid w:val="00D20F96"/>
    <w:rsid w:val="00D33098"/>
    <w:rsid w:val="00D41524"/>
    <w:rsid w:val="00D47268"/>
    <w:rsid w:val="00DA199E"/>
    <w:rsid w:val="00DC7D06"/>
    <w:rsid w:val="00E233D0"/>
    <w:rsid w:val="00E5110D"/>
    <w:rsid w:val="00E93AE8"/>
    <w:rsid w:val="00EC3CE4"/>
    <w:rsid w:val="00EC5DE6"/>
    <w:rsid w:val="00F11CF0"/>
    <w:rsid w:val="00F13D2D"/>
    <w:rsid w:val="00F24EAE"/>
    <w:rsid w:val="00F2671A"/>
    <w:rsid w:val="00FA4D54"/>
    <w:rsid w:val="00FE5BDE"/>
    <w:rsid w:val="00FF52AB"/>
    <w:rsid w:val="01C270C4"/>
    <w:rsid w:val="026A42ED"/>
    <w:rsid w:val="047E4A7C"/>
    <w:rsid w:val="07BC4D9F"/>
    <w:rsid w:val="08191262"/>
    <w:rsid w:val="082A509A"/>
    <w:rsid w:val="08CC04B9"/>
    <w:rsid w:val="0A650DF3"/>
    <w:rsid w:val="0A9146C8"/>
    <w:rsid w:val="0B7C08B1"/>
    <w:rsid w:val="0D6311F8"/>
    <w:rsid w:val="0E992F33"/>
    <w:rsid w:val="0FC14B9A"/>
    <w:rsid w:val="0FED08F4"/>
    <w:rsid w:val="12117D52"/>
    <w:rsid w:val="13F90EA8"/>
    <w:rsid w:val="143B128E"/>
    <w:rsid w:val="14457F40"/>
    <w:rsid w:val="14EB677C"/>
    <w:rsid w:val="1509514D"/>
    <w:rsid w:val="15B67A66"/>
    <w:rsid w:val="166A7E0C"/>
    <w:rsid w:val="16991540"/>
    <w:rsid w:val="17311417"/>
    <w:rsid w:val="18510C91"/>
    <w:rsid w:val="186E407B"/>
    <w:rsid w:val="1A9709DD"/>
    <w:rsid w:val="1AEE2345"/>
    <w:rsid w:val="1B8D1202"/>
    <w:rsid w:val="1BA77990"/>
    <w:rsid w:val="1CC405AD"/>
    <w:rsid w:val="1E6D6470"/>
    <w:rsid w:val="1F515840"/>
    <w:rsid w:val="1F892EAA"/>
    <w:rsid w:val="201F2B71"/>
    <w:rsid w:val="2020255F"/>
    <w:rsid w:val="208423ED"/>
    <w:rsid w:val="23D15B78"/>
    <w:rsid w:val="244F0A67"/>
    <w:rsid w:val="248C1BCA"/>
    <w:rsid w:val="26C80AD1"/>
    <w:rsid w:val="26D60318"/>
    <w:rsid w:val="26DE56F6"/>
    <w:rsid w:val="27ED5E1D"/>
    <w:rsid w:val="2A5B6A0C"/>
    <w:rsid w:val="2B8260F0"/>
    <w:rsid w:val="2ECA6B03"/>
    <w:rsid w:val="2EFF4F87"/>
    <w:rsid w:val="30E22562"/>
    <w:rsid w:val="316A656E"/>
    <w:rsid w:val="31F23704"/>
    <w:rsid w:val="33EC017C"/>
    <w:rsid w:val="359D0CEF"/>
    <w:rsid w:val="36A0762A"/>
    <w:rsid w:val="37F57C5F"/>
    <w:rsid w:val="382E0E0F"/>
    <w:rsid w:val="385B08E1"/>
    <w:rsid w:val="395F0C2F"/>
    <w:rsid w:val="39712C7F"/>
    <w:rsid w:val="3BBB16D3"/>
    <w:rsid w:val="3C402A97"/>
    <w:rsid w:val="3C707844"/>
    <w:rsid w:val="3C803B24"/>
    <w:rsid w:val="3C995B83"/>
    <w:rsid w:val="3EC40700"/>
    <w:rsid w:val="3F17299D"/>
    <w:rsid w:val="3F9E57C9"/>
    <w:rsid w:val="3FD02C50"/>
    <w:rsid w:val="42B84DD4"/>
    <w:rsid w:val="44767DC8"/>
    <w:rsid w:val="46EA33FE"/>
    <w:rsid w:val="49B75817"/>
    <w:rsid w:val="4DD142C4"/>
    <w:rsid w:val="4E765549"/>
    <w:rsid w:val="4F00169D"/>
    <w:rsid w:val="4F0140DA"/>
    <w:rsid w:val="4F0922AF"/>
    <w:rsid w:val="4F60034F"/>
    <w:rsid w:val="512D0E67"/>
    <w:rsid w:val="515F0963"/>
    <w:rsid w:val="52A852A2"/>
    <w:rsid w:val="53C61D5C"/>
    <w:rsid w:val="54BB1214"/>
    <w:rsid w:val="54EF57E1"/>
    <w:rsid w:val="554774A9"/>
    <w:rsid w:val="554A25F8"/>
    <w:rsid w:val="56435259"/>
    <w:rsid w:val="56855FE3"/>
    <w:rsid w:val="56866DDC"/>
    <w:rsid w:val="5B6C68BC"/>
    <w:rsid w:val="5D00395E"/>
    <w:rsid w:val="5D2D65B1"/>
    <w:rsid w:val="5DC51E85"/>
    <w:rsid w:val="5F9C36A9"/>
    <w:rsid w:val="606649DA"/>
    <w:rsid w:val="60E50A21"/>
    <w:rsid w:val="641A082A"/>
    <w:rsid w:val="64D92A67"/>
    <w:rsid w:val="67A327AC"/>
    <w:rsid w:val="69353F2C"/>
    <w:rsid w:val="698C3F60"/>
    <w:rsid w:val="69F51B6E"/>
    <w:rsid w:val="6A27187C"/>
    <w:rsid w:val="6B1A192E"/>
    <w:rsid w:val="6BB8004A"/>
    <w:rsid w:val="6BD979AB"/>
    <w:rsid w:val="6BDC7DA2"/>
    <w:rsid w:val="6C4E20E8"/>
    <w:rsid w:val="6E387F74"/>
    <w:rsid w:val="6ED55099"/>
    <w:rsid w:val="6F1F3CC6"/>
    <w:rsid w:val="758939B7"/>
    <w:rsid w:val="77044612"/>
    <w:rsid w:val="7888011C"/>
    <w:rsid w:val="7ACF50E2"/>
    <w:rsid w:val="7C985DBB"/>
    <w:rsid w:val="7E3E4F29"/>
    <w:rsid w:val="7E68329E"/>
    <w:rsid w:val="7FAB0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qFormat/>
    <w:uiPriority w:val="0"/>
    <w:rPr>
      <w:color w:val="696969"/>
      <w:u w:val="single"/>
    </w:rPr>
  </w:style>
  <w:style w:type="character" w:styleId="8">
    <w:name w:val="Hyperlink"/>
    <w:basedOn w:val="6"/>
    <w:qFormat/>
    <w:uiPriority w:val="0"/>
    <w:rPr>
      <w:color w:val="696969"/>
      <w:u w:val="single"/>
    </w:rPr>
  </w:style>
  <w:style w:type="character" w:customStyle="1" w:styleId="10">
    <w:name w:val="页脚 Char"/>
    <w:basedOn w:val="6"/>
    <w:link w:val="4"/>
    <w:qFormat/>
    <w:uiPriority w:val="99"/>
    <w:rPr>
      <w:rFonts w:asciiTheme="minorHAnsi" w:hAnsiTheme="minorHAnsi" w:eastAsiaTheme="minorEastAsia" w:cstheme="minorBidi"/>
      <w:kern w:val="2"/>
      <w:sz w:val="18"/>
      <w:szCs w:val="24"/>
    </w:rPr>
  </w:style>
  <w:style w:type="character" w:customStyle="1" w:styleId="11">
    <w:name w:val="t-link52"/>
    <w:basedOn w:val="6"/>
    <w:qFormat/>
    <w:uiPriority w:val="0"/>
  </w:style>
  <w:style w:type="character" w:customStyle="1" w:styleId="12">
    <w:name w:val="t-in2"/>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8305-1A45-4453-BE2D-41A762C36762}">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20</Pages>
  <Words>1347</Words>
  <Characters>7678</Characters>
  <Lines>63</Lines>
  <Paragraphs>18</Paragraphs>
  <TotalTime>2</TotalTime>
  <ScaleCrop>false</ScaleCrop>
  <LinksUpToDate>false</LinksUpToDate>
  <CharactersWithSpaces>9007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2019-01-11T01:30:00Z</dcterms:created>
  <dc:creator>刘智东</dc:creator>
  <cp:lastModifiedBy>黄春枚</cp:lastModifiedBy>
  <cp:lastPrinted>2020-12-29T03:10:00Z</cp:lastPrinted>
  <dcterms:modified xsi:type="dcterms:W3CDTF">2021-01-05T08:13:58Z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