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kinsoku/>
        <w:wordWrap/>
        <w:overflowPunct/>
        <w:topLinePunct w:val="0"/>
        <w:autoSpaceDN/>
        <w:bidi w:val="0"/>
        <w:spacing w:line="560" w:lineRule="exact"/>
        <w:ind w:firstLine="320" w:firstLineChars="1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N/>
        <w:bidi w:val="0"/>
        <w:spacing w:line="560" w:lineRule="exact"/>
        <w:textAlignment w:val="auto"/>
        <w:outlineLvl w:val="9"/>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eastAsia="zh-CN"/>
        </w:rPr>
        <w:t>惠城区小金口中心区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N/>
        <w:bidi w:val="0"/>
        <w:spacing w:line="560" w:lineRule="exact"/>
        <w:textAlignment w:val="auto"/>
        <w:outlineLvl w:val="9"/>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JBD81-01-01</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N/>
        <w:bidi w:val="0"/>
        <w:spacing w:line="560" w:lineRule="exact"/>
        <w:ind w:firstLine="320" w:firstLineChars="1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建设用地规划条件</w:t>
      </w:r>
      <w:r>
        <w:rPr>
          <w:rFonts w:hint="eastAsia" w:ascii="仿宋_GB2312" w:hAnsi="仿宋_GB2312" w:eastAsia="仿宋_GB2312" w:cs="仿宋_GB2312"/>
          <w:sz w:val="32"/>
          <w:szCs w:val="32"/>
        </w:rPr>
        <w:t>》(编号:PB20</w:t>
      </w:r>
      <w:r>
        <w:rPr>
          <w:rFonts w:hint="eastAsia" w:ascii="仿宋_GB2312" w:hAnsi="仿宋_GB2312" w:eastAsia="仿宋_GB2312" w:cs="仿宋_GB2312"/>
          <w:sz w:val="32"/>
          <w:szCs w:val="32"/>
          <w:lang w:val="en-US" w:eastAsia="zh-CN"/>
        </w:rPr>
        <w:t>200026</w:t>
      </w:r>
      <w:r>
        <w:rPr>
          <w:rFonts w:hint="eastAsia" w:ascii="仿宋_GB2312" w:hAnsi="仿宋_GB2312" w:eastAsia="仿宋_GB2312" w:cs="仿宋_GB2312"/>
          <w:sz w:val="32"/>
          <w:szCs w:val="32"/>
        </w:rPr>
        <w:t>)规定为准；</w:t>
      </w:r>
    </w:p>
    <w:p>
      <w:pPr>
        <w:keepNext w:val="0"/>
        <w:keepLines w:val="0"/>
        <w:pageBreakBefore w:val="0"/>
        <w:widowControl w:val="0"/>
        <w:kinsoku/>
        <w:wordWrap/>
        <w:overflowPunct/>
        <w:topLinePunct w:val="0"/>
        <w:autoSpaceDN/>
        <w:bidi w:val="0"/>
        <w:spacing w:line="560" w:lineRule="exact"/>
        <w:textAlignment w:val="auto"/>
        <w:outlineLvl w:val="9"/>
      </w:pPr>
      <w:r>
        <w:rPr>
          <w:rFonts w:hint="eastAsia" w:ascii="仿宋_GB2312" w:hAnsi="仿宋_GB2312" w:eastAsia="仿宋_GB2312" w:cs="仿宋_GB2312"/>
          <w:sz w:val="32"/>
          <w:szCs w:val="32"/>
        </w:rPr>
        <w:t xml:space="preserve">  （五）宗地使用权面积为：</w:t>
      </w:r>
      <w:r>
        <w:rPr>
          <w:rFonts w:hint="eastAsia" w:ascii="仿宋_GB2312" w:hAnsi="仿宋_GB2312" w:eastAsia="仿宋_GB2312" w:cs="仿宋_GB2312"/>
          <w:sz w:val="32"/>
          <w:szCs w:val="32"/>
          <w:lang w:val="en-US" w:eastAsia="zh-CN"/>
        </w:rPr>
        <w:t>16135</w:t>
      </w:r>
      <w:r>
        <w:rPr>
          <w:rFonts w:hint="eastAsia" w:ascii="仿宋_GB2312" w:hAnsi="仿宋_GB2312" w:eastAsia="仿宋_GB2312" w:cs="仿宋_GB2312"/>
          <w:sz w:val="32"/>
          <w:szCs w:val="32"/>
        </w:rPr>
        <w:t>平方米；</w:t>
      </w:r>
    </w:p>
    <w:p>
      <w:pPr>
        <w:keepNext w:val="0"/>
        <w:keepLines w:val="0"/>
        <w:pageBreakBefore w:val="0"/>
        <w:widowControl w:val="0"/>
        <w:kinsoku/>
        <w:wordWrap/>
        <w:overflowPunct/>
        <w:topLinePunct w:val="0"/>
        <w:autoSpaceDN/>
        <w:bidi w:val="0"/>
        <w:spacing w:line="560" w:lineRule="exact"/>
        <w:ind w:firstLine="320" w:firstLineChars="1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19481</w:t>
      </w:r>
      <w:r>
        <w:rPr>
          <w:rFonts w:hint="eastAsia" w:ascii="仿宋_GB2312" w:hAnsi="仿宋_GB2312" w:eastAsia="仿宋_GB2312" w:cs="仿宋_GB2312"/>
          <w:sz w:val="32"/>
          <w:szCs w:val="32"/>
        </w:rPr>
        <w:t>平方米；</w:t>
      </w:r>
    </w:p>
    <w:p>
      <w:pPr>
        <w:keepNext w:val="0"/>
        <w:keepLines w:val="0"/>
        <w:pageBreakBefore w:val="0"/>
        <w:widowControl w:val="0"/>
        <w:kinsoku/>
        <w:wordWrap/>
        <w:overflowPunct/>
        <w:topLinePunct w:val="0"/>
        <w:autoSpaceDN/>
        <w:bidi w:val="0"/>
        <w:spacing w:line="560" w:lineRule="exact"/>
        <w:ind w:firstLine="320" w:firstLineChars="100"/>
        <w:textAlignment w:val="auto"/>
        <w:outlineLvl w:val="9"/>
      </w:pPr>
      <w:r>
        <w:rPr>
          <w:rFonts w:hint="eastAsia" w:ascii="仿宋_GB2312" w:hAnsi="仿宋_GB2312" w:eastAsia="仿宋_GB2312" w:cs="仿宋_GB2312"/>
          <w:sz w:val="32"/>
          <w:szCs w:val="32"/>
        </w:rPr>
        <w:t>（七）计容积率建筑面积为：</w:t>
      </w:r>
      <w:r>
        <w:rPr>
          <w:rFonts w:hint="eastAsia" w:ascii="仿宋_GB2312" w:hAnsi="仿宋_GB2312" w:eastAsia="仿宋_GB2312" w:cs="仿宋_GB2312"/>
          <w:sz w:val="32"/>
          <w:szCs w:val="32"/>
          <w:lang w:val="en-US" w:eastAsia="zh-CN"/>
        </w:rPr>
        <w:t>38962-68183</w:t>
      </w:r>
      <w:r>
        <w:rPr>
          <w:rFonts w:hint="eastAsia" w:ascii="仿宋_GB2312" w:hAnsi="仿宋_GB2312" w:eastAsia="仿宋_GB2312" w:cs="仿宋_GB2312"/>
          <w:sz w:val="32"/>
          <w:szCs w:val="32"/>
        </w:rPr>
        <w:t>平方米；</w:t>
      </w:r>
    </w:p>
    <w:p>
      <w:pPr>
        <w:keepNext w:val="0"/>
        <w:keepLines w:val="0"/>
        <w:pageBreakBefore w:val="0"/>
        <w:widowControl w:val="0"/>
        <w:kinsoku/>
        <w:wordWrap/>
        <w:overflowPunct/>
        <w:topLinePunct w:val="0"/>
        <w:autoSpaceDN/>
        <w:bidi w:val="0"/>
        <w:spacing w:line="560" w:lineRule="exact"/>
        <w:ind w:firstLine="320" w:firstLineChars="1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（八）土地用途为：工业用地；</w:t>
      </w:r>
    </w:p>
    <w:p>
      <w:pPr>
        <w:keepNext w:val="0"/>
        <w:keepLines w:val="0"/>
        <w:pageBreakBefore w:val="0"/>
        <w:widowControl w:val="0"/>
        <w:kinsoku/>
        <w:wordWrap/>
        <w:overflowPunct/>
        <w:topLinePunct w:val="0"/>
        <w:autoSpaceDN/>
        <w:bidi w:val="0"/>
        <w:spacing w:line="560" w:lineRule="exact"/>
        <w:ind w:firstLine="320" w:firstLineChars="1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（九）土地使用权出让年期为：工业用地50年；</w:t>
      </w:r>
    </w:p>
    <w:p>
      <w:pPr>
        <w:keepNext w:val="0"/>
        <w:keepLines w:val="0"/>
        <w:pageBreakBefore w:val="0"/>
        <w:widowControl w:val="0"/>
        <w:kinsoku/>
        <w:wordWrap/>
        <w:overflowPunct/>
        <w:topLinePunct w:val="0"/>
        <w:autoSpaceDN/>
        <w:bidi w:val="0"/>
        <w:spacing w:line="560" w:lineRule="exact"/>
        <w:ind w:firstLine="320" w:firstLineChars="1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（十）容积率为：</w:t>
      </w:r>
      <w:r>
        <w:rPr>
          <w:rFonts w:hint="eastAsia" w:ascii="仿宋_GB2312" w:hAnsi="仿宋_GB2312" w:eastAsia="仿宋_GB2312" w:cs="仿宋_GB2312"/>
          <w:sz w:val="32"/>
          <w:szCs w:val="32"/>
          <w:lang w:val="en-US" w:eastAsia="zh-CN"/>
        </w:rPr>
        <w:t>2.0-3.5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N/>
        <w:bidi w:val="0"/>
        <w:spacing w:line="560" w:lineRule="exact"/>
        <w:textAlignment w:val="auto"/>
        <w:outlineLvl w:val="9"/>
      </w:pPr>
      <w:r>
        <w:rPr>
          <w:rFonts w:hint="eastAsia" w:ascii="仿宋_GB2312" w:hAnsi="仿宋_GB2312" w:eastAsia="仿宋_GB2312" w:cs="仿宋_GB2312"/>
          <w:sz w:val="32"/>
          <w:szCs w:val="32"/>
        </w:rPr>
        <w:t xml:space="preserve">  （十一）绿地率为:</w:t>
      </w:r>
      <w:r>
        <w:rPr>
          <w:rFonts w:hint="eastAsia" w:ascii="仿宋_GB2312" w:eastAsia="仿宋_GB2312"/>
          <w:color w:val="000000"/>
          <w:kern w:val="0"/>
          <w:sz w:val="30"/>
          <w:szCs w:val="30"/>
        </w:rPr>
        <w:t xml:space="preserve"> </w:t>
      </w:r>
      <w:r>
        <w:rPr>
          <w:rFonts w:hint="eastAsia" w:ascii="仿宋_GB2312" w:hAnsi="仿宋_GB2312" w:eastAsia="仿宋_GB2312" w:cs="仿宋_GB2312"/>
          <w:sz w:val="32"/>
          <w:szCs w:val="32"/>
        </w:rPr>
        <w:t>20%;</w:t>
      </w:r>
    </w:p>
    <w:p>
      <w:pPr>
        <w:keepNext w:val="0"/>
        <w:keepLines w:val="0"/>
        <w:pageBreakBefore w:val="0"/>
        <w:widowControl w:val="0"/>
        <w:kinsoku/>
        <w:wordWrap/>
        <w:overflowPunct/>
        <w:topLinePunct w:val="0"/>
        <w:autoSpaceDN/>
        <w:bidi w:val="0"/>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（十二）建筑密度为</w:t>
      </w:r>
      <w:r>
        <w:rPr>
          <w:rFonts w:hint="eastAsia" w:ascii="仿宋_GB2312" w:eastAsia="仿宋_GB2312"/>
          <w:color w:val="000000"/>
          <w:kern w:val="0"/>
          <w:sz w:val="30"/>
          <w:szCs w:val="30"/>
        </w:rPr>
        <w:t>: ≥</w:t>
      </w:r>
      <w:r>
        <w:rPr>
          <w:rFonts w:hint="eastAsia" w:ascii="仿宋_GB2312" w:eastAsia="仿宋_GB2312"/>
          <w:color w:val="000000"/>
          <w:kern w:val="0"/>
          <w:sz w:val="30"/>
          <w:szCs w:val="30"/>
          <w:lang w:val="en-US" w:eastAsia="zh-CN"/>
        </w:rPr>
        <w:t>30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N/>
        <w:bidi w:val="0"/>
        <w:spacing w:line="560" w:lineRule="exact"/>
        <w:textAlignment w:val="auto"/>
        <w:outlineLvl w:val="9"/>
        <w:rPr>
          <w:rFonts w:hint="default"/>
          <w:lang w:val="en-US"/>
        </w:rPr>
      </w:pPr>
      <w:r>
        <w:rPr>
          <w:rFonts w:hint="eastAsia" w:ascii="仿宋_GB2312" w:hAnsi="仿宋_GB2312" w:eastAsia="仿宋_GB2312" w:cs="仿宋_GB2312"/>
          <w:sz w:val="32"/>
          <w:szCs w:val="32"/>
        </w:rPr>
        <w:t xml:space="preserve">  （十三）产业类型</w:t>
      </w:r>
      <w:r>
        <w:rPr>
          <w:rFonts w:hint="eastAsia" w:ascii="仿宋_GB2312" w:eastAsia="仿宋_GB2312"/>
          <w:color w:val="000000"/>
          <w:kern w:val="0"/>
          <w:sz w:val="30"/>
          <w:szCs w:val="30"/>
        </w:rPr>
        <w:t>：</w:t>
      </w:r>
      <w:r>
        <w:rPr>
          <w:rFonts w:hint="eastAsia" w:ascii="仿宋_GB2312" w:eastAsia="仿宋_GB2312"/>
          <w:color w:val="000000"/>
          <w:kern w:val="0"/>
          <w:sz w:val="30"/>
          <w:szCs w:val="30"/>
          <w:lang w:val="en-US" w:eastAsia="zh-CN"/>
        </w:rPr>
        <w:t>通讯设备、计算机及其它电子设备制造业;</w:t>
      </w:r>
    </w:p>
    <w:p>
      <w:pPr>
        <w:keepNext w:val="0"/>
        <w:keepLines w:val="0"/>
        <w:pageBreakBefore w:val="0"/>
        <w:widowControl w:val="0"/>
        <w:kinsoku/>
        <w:wordWrap/>
        <w:overflowPunct/>
        <w:topLinePunct w:val="0"/>
        <w:autoSpaceDN/>
        <w:bidi w:val="0"/>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（十四）动工及竣工时间：该地块的动工时间为地块交付之日起一年内，竣工时间为动工之日起三年内（因不可抗拒因素除外）；</w:t>
      </w:r>
    </w:p>
    <w:p>
      <w:pPr>
        <w:keepNext w:val="0"/>
        <w:keepLines w:val="0"/>
        <w:pageBreakBefore w:val="0"/>
        <w:widowControl w:val="0"/>
        <w:kinsoku/>
        <w:wordWrap/>
        <w:overflowPunct/>
        <w:topLinePunct w:val="0"/>
        <w:autoSpaceDN/>
        <w:bidi w:val="0"/>
        <w:spacing w:line="560" w:lineRule="exact"/>
        <w:ind w:firstLine="320" w:firstLineChars="1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（十五）土地交付使用时间为《国有建设用地使用权出让合同》签订之日。</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（一）开发投资总额不少于</w:t>
      </w:r>
      <w:r>
        <w:rPr>
          <w:rFonts w:hint="eastAsia" w:ascii="仿宋_GB2312" w:hAnsi="仿宋" w:eastAsia="仿宋_GB2312"/>
          <w:color w:val="auto"/>
          <w:sz w:val="32"/>
          <w:szCs w:val="32"/>
          <w:lang w:val="en-US" w:eastAsia="zh-CN"/>
        </w:rPr>
        <w:t>550</w:t>
      </w:r>
      <w:r>
        <w:rPr>
          <w:rFonts w:hint="eastAsia" w:ascii="仿宋_GB2312" w:hAnsi="仿宋" w:eastAsia="仿宋_GB2312"/>
          <w:color w:val="auto"/>
          <w:sz w:val="32"/>
          <w:szCs w:val="32"/>
        </w:rPr>
        <w:t>00</w:t>
      </w:r>
      <w:r>
        <w:rPr>
          <w:rFonts w:hint="eastAsia" w:ascii="仿宋_GB2312" w:hAnsi="仿宋_GB2312" w:eastAsia="仿宋_GB2312" w:cs="仿宋_GB2312"/>
          <w:color w:val="auto"/>
          <w:sz w:val="32"/>
          <w:szCs w:val="32"/>
        </w:rPr>
        <w:t>万元（含地价）。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outlineLvl w:val="9"/>
        <w:rPr>
          <w:rFonts w:ascii="仿宋" w:hAnsi="仿宋" w:eastAsia="仿宋"/>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（四）该地权利清晰，安置补偿落实到位，没有法律经济纠纷，具备动工开发所必须的基本条件。</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int="eastAsia" w:ascii="仿宋_GB2312" w:hAnsi="仿宋_GB2312" w:eastAsia="仿宋_GB2312" w:cs="仿宋_GB2312"/>
          <w:sz w:val="32"/>
          <w:szCs w:val="32"/>
        </w:rPr>
      </w:pPr>
      <w:r>
        <w:rPr>
          <w:rFonts w:hint="eastAsia" w:hAnsi="仿宋_GB2312" w:cs="仿宋_GB2312"/>
          <w:szCs w:val="32"/>
        </w:rPr>
        <w:t>（</w:t>
      </w:r>
      <w:r>
        <w:rPr>
          <w:rFonts w:hint="eastAsia" w:hAnsi="仿宋_GB2312" w:cs="仿宋_GB2312"/>
          <w:szCs w:val="32"/>
          <w:lang w:val="en-US" w:eastAsia="zh-CN"/>
        </w:rPr>
        <w:t>五</w:t>
      </w:r>
      <w:r>
        <w:rPr>
          <w:rFonts w:hint="eastAsia" w:hAnsi="仿宋_GB2312" w:cs="仿宋_GB2312"/>
          <w:szCs w:val="32"/>
        </w:rPr>
        <w:t>）竞得人在用地红线内开发建设必须符合城市规划要求，必须按</w:t>
      </w:r>
      <w:r>
        <w:rPr>
          <w:rFonts w:hint="eastAsia" w:hAnsi="仿宋_GB2312" w:cs="仿宋_GB2312"/>
          <w:szCs w:val="32"/>
          <w:lang w:eastAsia="zh-CN"/>
        </w:rPr>
        <w:t>上述建设方案的要求</w:t>
      </w:r>
      <w:r>
        <w:rPr>
          <w:rFonts w:hint="eastAsia" w:hAnsi="仿宋_GB2312" w:cs="仿宋_GB2312"/>
          <w:szCs w:val="32"/>
        </w:rPr>
        <w:t>进行规划设计。</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）项目规划建设方案</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所报总平面图的主要技术经济指标：规划布局1栋厂房2栋宿舍，建筑层数地上最高10层，地下1层，计算指标用地面积19481平方米，计容积率建筑面积58374平方米（其中宿舍建筑面积8792平方米，占比15%；厂房建筑面积49582平方米，占比85%），容积率3.0，总基底面积6827平方米（宿舍基底面积1191平方米，占用地面积比6%），建筑密度35%，停车位117个（地面10个，地下107个），绿地率20%。所报方案符合《建设用地规划条件》（PB20200026)相关指标要求，</w:t>
      </w:r>
      <w:r>
        <w:rPr>
          <w:rFonts w:hint="eastAsia" w:ascii="Times New Roman" w:hAnsi="Times New Roman" w:eastAsia="仿宋_GB2312" w:cs="Times New Roman"/>
          <w:color w:val="auto"/>
          <w:kern w:val="0"/>
          <w:sz w:val="32"/>
          <w:szCs w:val="32"/>
          <w:lang w:val="en-US" w:eastAsia="zh-CN"/>
        </w:rPr>
        <w:t>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（2）建设项目平面布置图详见附件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招商条件：本</w:t>
      </w:r>
      <w:r>
        <w:rPr>
          <w:rFonts w:hint="eastAsia" w:ascii="仿宋_GB2312" w:hAnsi="仿宋_GB2312" w:eastAsia="仿宋_GB2312" w:cs="仿宋_GB2312"/>
          <w:sz w:val="32"/>
          <w:szCs w:val="32"/>
        </w:rPr>
        <w:t>项目总投资规模不低于</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eastAsia="zh-CN"/>
        </w:rPr>
        <w:t>亿</w:t>
      </w:r>
      <w:r>
        <w:rPr>
          <w:rFonts w:hint="eastAsia" w:ascii="仿宋_GB2312" w:hAnsi="仿宋_GB2312" w:eastAsia="仿宋_GB2312" w:cs="仿宋_GB2312"/>
          <w:sz w:val="32"/>
          <w:szCs w:val="32"/>
        </w:rPr>
        <w:t>元,投资强度不低于</w:t>
      </w:r>
      <w:r>
        <w:rPr>
          <w:rFonts w:hint="eastAsia" w:ascii="仿宋_GB2312" w:hAnsi="仿宋_GB2312" w:eastAsia="仿宋_GB2312" w:cs="仿宋_GB2312"/>
          <w:sz w:val="32"/>
          <w:szCs w:val="32"/>
          <w:lang w:val="en-US" w:eastAsia="zh-CN"/>
        </w:rPr>
        <w:t>2.823365</w:t>
      </w:r>
      <w:r>
        <w:rPr>
          <w:rFonts w:hint="eastAsia" w:ascii="仿宋_GB2312" w:hAnsi="仿宋_GB2312" w:eastAsia="仿宋_GB2312" w:cs="仿宋_GB2312"/>
          <w:sz w:val="32"/>
          <w:szCs w:val="32"/>
          <w:lang w:eastAsia="zh-CN"/>
        </w:rPr>
        <w:t>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6.160069</w:t>
      </w:r>
      <w:r>
        <w:rPr>
          <w:rFonts w:hint="eastAsia" w:ascii="仿宋_GB2312" w:hAnsi="仿宋_GB2312" w:eastAsia="仿宋_GB2312" w:cs="仿宋_GB2312"/>
          <w:sz w:val="32"/>
          <w:szCs w:val="32"/>
          <w:lang w:eastAsia="zh-CN"/>
        </w:rPr>
        <w:t>亿元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/年，税</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sz w:val="32"/>
          <w:szCs w:val="32"/>
        </w:rPr>
        <w:t>产出不低于</w:t>
      </w:r>
      <w:r>
        <w:rPr>
          <w:rFonts w:hint="eastAsia" w:ascii="仿宋_GB2312" w:hAnsi="仿宋_GB2312" w:eastAsia="仿宋_GB2312" w:cs="仿宋_GB2312"/>
          <w:sz w:val="32"/>
          <w:szCs w:val="32"/>
          <w:lang w:val="en-US" w:eastAsia="zh-CN"/>
        </w:rPr>
        <w:t>0.123201</w:t>
      </w:r>
      <w:r>
        <w:rPr>
          <w:rFonts w:hint="eastAsia" w:ascii="仿宋_GB2312" w:hAnsi="仿宋_GB2312" w:eastAsia="仿宋_GB2312" w:cs="仿宋_GB2312"/>
          <w:sz w:val="32"/>
          <w:szCs w:val="32"/>
          <w:lang w:eastAsia="zh-CN"/>
        </w:rPr>
        <w:t>亿元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/年。其中，土地产出率及税收产出在项目投产后3年内逐年考核，3年内的平均值不得低于上述标准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w:t>
      </w:r>
      <w:r>
        <w:rPr>
          <w:rFonts w:hint="eastAsia" w:ascii="仿宋_GB2312" w:hAnsi="仿宋_GB2312" w:eastAsia="仿宋_GB2312" w:cs="仿宋_GB2312"/>
          <w:sz w:val="32"/>
          <w:szCs w:val="32"/>
          <w:lang w:val="en-US" w:eastAsia="zh-CN"/>
        </w:rPr>
        <w:t>惠城区小金口街道办事处</w:t>
      </w:r>
      <w:r>
        <w:rPr>
          <w:rFonts w:hint="eastAsia" w:ascii="仿宋_GB2312" w:hAnsi="仿宋_GB2312" w:eastAsia="仿宋_GB2312" w:cs="仿宋_GB2312"/>
          <w:sz w:val="32"/>
          <w:szCs w:val="32"/>
        </w:rPr>
        <w:t>提交项目投资计划书和时间安排表，并按月向</w:t>
      </w:r>
      <w:r>
        <w:rPr>
          <w:rFonts w:hint="eastAsia" w:ascii="仿宋_GB2312" w:hAnsi="仿宋_GB2312" w:eastAsia="仿宋_GB2312" w:cs="仿宋_GB2312"/>
          <w:sz w:val="32"/>
          <w:szCs w:val="32"/>
          <w:lang w:val="en-US" w:eastAsia="zh-CN"/>
        </w:rPr>
        <w:t>惠城区小金口街道办事处</w:t>
      </w:r>
      <w:r>
        <w:rPr>
          <w:rFonts w:hint="eastAsia" w:ascii="仿宋_GB2312" w:hAnsi="仿宋_GB2312" w:eastAsia="仿宋_GB2312" w:cs="仿宋_GB2312"/>
          <w:sz w:val="32"/>
          <w:szCs w:val="32"/>
        </w:rPr>
        <w:t>书面报告项目进展情况，直至项目投产。</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八</w:t>
      </w:r>
      <w:r>
        <w:rPr>
          <w:rFonts w:hint="eastAsia" w:ascii="仿宋_GB2312" w:eastAsia="仿宋_GB2312"/>
          <w:sz w:val="32"/>
          <w:szCs w:val="32"/>
        </w:rPr>
        <w:t>）</w:t>
      </w:r>
      <w:r>
        <w:rPr>
          <w:rFonts w:hint="eastAsia" w:ascii="仿宋_GB2312" w:hAnsi="仿宋" w:eastAsia="仿宋_GB2312"/>
          <w:sz w:val="32"/>
          <w:szCs w:val="32"/>
        </w:rPr>
        <w:t>竞得人在签订《成交确认书》前，须与</w:t>
      </w:r>
      <w:r>
        <w:rPr>
          <w:rFonts w:hint="eastAsia" w:ascii="仿宋_GB2312" w:hAnsi="仿宋" w:eastAsia="仿宋_GB2312"/>
          <w:color w:val="auto"/>
          <w:sz w:val="32"/>
          <w:szCs w:val="32"/>
        </w:rPr>
        <w:t>惠城区</w:t>
      </w:r>
      <w:r>
        <w:rPr>
          <w:rFonts w:hint="eastAsia" w:ascii="仿宋_GB2312" w:hAnsi="仿宋" w:eastAsia="仿宋_GB2312"/>
          <w:color w:val="auto"/>
          <w:sz w:val="32"/>
          <w:szCs w:val="32"/>
          <w:lang w:eastAsia="zh-CN"/>
        </w:rPr>
        <w:t>小金口街道办事</w:t>
      </w:r>
      <w:r>
        <w:rPr>
          <w:rFonts w:hint="eastAsia" w:ascii="仿宋_GB2312" w:hAnsi="仿宋" w:eastAsia="仿宋_GB2312"/>
          <w:sz w:val="32"/>
          <w:szCs w:val="32"/>
          <w:lang w:eastAsia="zh-CN"/>
        </w:rPr>
        <w:t>处</w:t>
      </w:r>
      <w:r>
        <w:rPr>
          <w:rFonts w:hint="eastAsia" w:ascii="仿宋_GB2312" w:hAnsi="仿宋" w:eastAsia="仿宋_GB2312"/>
          <w:sz w:val="32"/>
          <w:szCs w:val="32"/>
        </w:rPr>
        <w:t>签订《惠城区工业项目土地建设和使用监管协议书》，并由</w:t>
      </w:r>
      <w:r>
        <w:rPr>
          <w:rFonts w:hint="eastAsia" w:ascii="仿宋_GB2312" w:hAnsi="仿宋" w:eastAsia="仿宋_GB2312"/>
          <w:color w:val="auto"/>
          <w:sz w:val="32"/>
          <w:szCs w:val="32"/>
          <w:lang w:eastAsia="zh-CN"/>
        </w:rPr>
        <w:t>惠城区小金口街道办事处</w:t>
      </w:r>
      <w:r>
        <w:rPr>
          <w:rFonts w:hint="eastAsia" w:ascii="仿宋_GB2312" w:hAnsi="仿宋" w:eastAsia="仿宋_GB2312"/>
          <w:sz w:val="32"/>
          <w:szCs w:val="32"/>
        </w:rPr>
        <w:t>对项目用地实施批后监管;</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570</w:t>
      </w:r>
      <w:r>
        <w:rPr>
          <w:rFonts w:hint="eastAsia" w:ascii="仿宋_GB2312" w:hAnsi="仿宋_GB2312" w:eastAsia="仿宋_GB2312" w:cs="仿宋_GB2312"/>
          <w:sz w:val="32"/>
          <w:szCs w:val="32"/>
        </w:rPr>
        <w:t>万元民币。</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（四）申请人及其控股股东存在下列行为之一的，不得参与上述地块竞买活动：</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keepNext w:val="0"/>
        <w:keepLines w:val="0"/>
        <w:pageBreakBefore w:val="0"/>
        <w:widowControl w:val="0"/>
        <w:kinsoku/>
        <w:wordWrap/>
        <w:overflowPunct/>
        <w:topLinePunct w:val="0"/>
        <w:autoSpaceDN/>
        <w:bidi w:val="0"/>
        <w:spacing w:line="560" w:lineRule="exact"/>
        <w:ind w:firstLine="321" w:firstLineChars="1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keepNext w:val="0"/>
        <w:keepLines w:val="0"/>
        <w:pageBreakBefore w:val="0"/>
        <w:widowControl w:val="0"/>
        <w:kinsoku/>
        <w:wordWrap/>
        <w:overflowPunct/>
        <w:topLinePunct w:val="0"/>
        <w:autoSpaceDN/>
        <w:bidi w:val="0"/>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keepNext w:val="0"/>
        <w:keepLines w:val="0"/>
        <w:pageBreakBefore w:val="0"/>
        <w:widowControl w:val="0"/>
        <w:kinsoku/>
        <w:wordWrap/>
        <w:overflowPunct/>
        <w:topLinePunct w:val="0"/>
        <w:autoSpaceDN/>
        <w:bidi w:val="0"/>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仟</w:t>
      </w:r>
      <w:r>
        <w:rPr>
          <w:rFonts w:hint="eastAsia" w:ascii="仿宋_GB2312" w:hAnsi="仿宋_GB2312" w:eastAsia="仿宋_GB2312" w:cs="仿宋_GB2312"/>
          <w:sz w:val="32"/>
          <w:szCs w:val="32"/>
          <w:u w:val="single"/>
          <w:lang w:val="en-US" w:eastAsia="zh-CN"/>
        </w:rPr>
        <w:t>玖佰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1900</w:t>
      </w:r>
      <w:r>
        <w:rPr>
          <w:rFonts w:hint="eastAsia" w:ascii="仿宋_GB2312" w:hAnsi="仿宋_GB2312" w:eastAsia="仿宋_GB2312" w:cs="仿宋_GB2312"/>
          <w:sz w:val="32"/>
          <w:szCs w:val="32"/>
        </w:rPr>
        <w:t>万元）（土地单价</w:t>
      </w:r>
      <w:r>
        <w:rPr>
          <w:rFonts w:hint="eastAsia" w:ascii="仿宋_GB2312" w:hAnsi="仿宋_GB2312" w:eastAsia="仿宋_GB2312" w:cs="仿宋_GB2312"/>
          <w:sz w:val="32"/>
          <w:szCs w:val="32"/>
          <w:u w:val="single"/>
        </w:rPr>
        <w:t>11</w:t>
      </w:r>
      <w:r>
        <w:rPr>
          <w:rFonts w:hint="eastAsia" w:ascii="仿宋_GB2312" w:hAnsi="仿宋_GB2312" w:eastAsia="仿宋_GB2312" w:cs="仿宋_GB2312"/>
          <w:sz w:val="32"/>
          <w:szCs w:val="32"/>
          <w:u w:val="single"/>
          <w:lang w:val="en-US" w:eastAsia="zh-CN"/>
        </w:rPr>
        <w:t>78</w:t>
      </w:r>
      <w:r>
        <w:rPr>
          <w:rFonts w:hint="eastAsia" w:ascii="仿宋_GB2312" w:hAnsi="仿宋_GB2312" w:eastAsia="仿宋_GB2312" w:cs="仿宋_GB2312"/>
          <w:sz w:val="32"/>
          <w:szCs w:val="32"/>
        </w:rPr>
        <w:t>元/平方米）,增价幅度为人民币</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rPr>
        <w:t>50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keepNext w:val="0"/>
        <w:keepLines w:val="0"/>
        <w:pageBreakBefore w:val="0"/>
        <w:widowControl w:val="0"/>
        <w:kinsoku/>
        <w:wordWrap/>
        <w:overflowPunct/>
        <w:topLinePunct w:val="0"/>
        <w:autoSpaceDN/>
        <w:bidi w:val="0"/>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日9时。</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（二）网上挂牌截止时间：2020年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日10时。</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（三）网上挂牌交纳保证金截止时间：2020年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日9时。</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keepNext w:val="0"/>
        <w:keepLines w:val="0"/>
        <w:pageBreakBefore w:val="0"/>
        <w:widowControl w:val="0"/>
        <w:kinsoku/>
        <w:wordWrap/>
        <w:overflowPunct/>
        <w:topLinePunct w:val="0"/>
        <w:autoSpaceDN/>
        <w:bidi w:val="0"/>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（二）本宗地竞买保证金到账截止时间为2020年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柒</w:t>
      </w:r>
      <w:r>
        <w:rPr>
          <w:rFonts w:hint="eastAsia" w:ascii="仿宋_GB2312" w:hAnsi="仿宋_GB2312" w:eastAsia="仿宋_GB2312" w:cs="仿宋_GB2312"/>
          <w:sz w:val="32"/>
          <w:szCs w:val="32"/>
          <w:u w:val="single"/>
        </w:rPr>
        <w:t>拾万元整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570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keepNext w:val="0"/>
        <w:keepLines w:val="0"/>
        <w:pageBreakBefore w:val="0"/>
        <w:widowControl w:val="0"/>
        <w:kinsoku/>
        <w:wordWrap/>
        <w:overflowPunct/>
        <w:topLinePunct w:val="0"/>
        <w:autoSpaceDN/>
        <w:bidi w:val="0"/>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keepNext w:val="0"/>
        <w:keepLines w:val="0"/>
        <w:pageBreakBefore w:val="0"/>
        <w:widowControl w:val="0"/>
        <w:kinsoku/>
        <w:wordWrap/>
        <w:overflowPunct/>
        <w:topLinePunct w:val="0"/>
        <w:autoSpaceDN/>
        <w:bidi w:val="0"/>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keepNext w:val="0"/>
        <w:keepLines w:val="0"/>
        <w:pageBreakBefore w:val="0"/>
        <w:widowControl w:val="0"/>
        <w:kinsoku/>
        <w:wordWrap/>
        <w:overflowPunct/>
        <w:topLinePunct w:val="0"/>
        <w:autoSpaceDN/>
        <w:bidi w:val="0"/>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keepNext w:val="0"/>
        <w:keepLines w:val="0"/>
        <w:pageBreakBefore w:val="0"/>
        <w:widowControl w:val="0"/>
        <w:kinsoku/>
        <w:wordWrap/>
        <w:overflowPunct/>
        <w:topLinePunct w:val="0"/>
        <w:autoSpaceDN/>
        <w:bidi w:val="0"/>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（七）资格审查和签订《成交确认书》</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（5）申请竞买人有效的《营业执照》副本及《组织机构代码证》副本复印件（加盖公章）（二份）。</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（9）竞得人与惠城区小金口街道办事处签订的《惠城区工业项目土地建设和使用监管协议书》。</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keepNext w:val="0"/>
        <w:keepLines w:val="0"/>
        <w:pageBreakBefore w:val="0"/>
        <w:widowControl w:val="0"/>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keepNext w:val="0"/>
        <w:keepLines w:val="0"/>
        <w:pageBreakBefore w:val="0"/>
        <w:widowControl w:val="0"/>
        <w:kinsoku/>
        <w:wordWrap/>
        <w:overflowPunct/>
        <w:topLinePunct w:val="0"/>
        <w:autoSpaceDN/>
        <w:bidi w:val="0"/>
        <w:spacing w:line="56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N/>
        <w:bidi w:val="0"/>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keepNext w:val="0"/>
        <w:keepLines w:val="0"/>
        <w:pageBreakBefore w:val="0"/>
        <w:widowControl w:val="0"/>
        <w:tabs>
          <w:tab w:val="left" w:pos="3388"/>
        </w:tabs>
        <w:kinsoku/>
        <w:wordWrap/>
        <w:overflowPunct/>
        <w:topLinePunct w:val="0"/>
        <w:autoSpaceDN/>
        <w:bidi w:val="0"/>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wordWrap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bookmarkStart w:id="3" w:name="_GoBack"/>
      <w:bookmarkEnd w:id="3"/>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5A62DB1"/>
    <w:rsid w:val="08CC04B9"/>
    <w:rsid w:val="0A9146C8"/>
    <w:rsid w:val="0FC14B9A"/>
    <w:rsid w:val="0FED08F4"/>
    <w:rsid w:val="105768EA"/>
    <w:rsid w:val="14EB677C"/>
    <w:rsid w:val="165A3CD3"/>
    <w:rsid w:val="17311417"/>
    <w:rsid w:val="18510C91"/>
    <w:rsid w:val="192C5000"/>
    <w:rsid w:val="19F94EB7"/>
    <w:rsid w:val="1AEE2345"/>
    <w:rsid w:val="1CC405AD"/>
    <w:rsid w:val="24227042"/>
    <w:rsid w:val="248C1BCA"/>
    <w:rsid w:val="26D60318"/>
    <w:rsid w:val="27ED5E1D"/>
    <w:rsid w:val="2C36149B"/>
    <w:rsid w:val="2EFF4F87"/>
    <w:rsid w:val="2F0428B3"/>
    <w:rsid w:val="316A656E"/>
    <w:rsid w:val="31F23704"/>
    <w:rsid w:val="329A423A"/>
    <w:rsid w:val="35FC20EB"/>
    <w:rsid w:val="3C995B83"/>
    <w:rsid w:val="3F296E66"/>
    <w:rsid w:val="3F9E57C9"/>
    <w:rsid w:val="435A3D75"/>
    <w:rsid w:val="49B75817"/>
    <w:rsid w:val="4C9033BB"/>
    <w:rsid w:val="4E1D5224"/>
    <w:rsid w:val="53C61D5C"/>
    <w:rsid w:val="554A25F8"/>
    <w:rsid w:val="56866DDC"/>
    <w:rsid w:val="56892596"/>
    <w:rsid w:val="58546A43"/>
    <w:rsid w:val="5D00395E"/>
    <w:rsid w:val="5D743875"/>
    <w:rsid w:val="60612CDB"/>
    <w:rsid w:val="638754C1"/>
    <w:rsid w:val="69822AA9"/>
    <w:rsid w:val="69F51B6E"/>
    <w:rsid w:val="6A27187C"/>
    <w:rsid w:val="6B1A192E"/>
    <w:rsid w:val="6BD979AB"/>
    <w:rsid w:val="6BDC7DA2"/>
    <w:rsid w:val="6ED55099"/>
    <w:rsid w:val="755E700E"/>
    <w:rsid w:val="7E68329E"/>
    <w:rsid w:val="7FA617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6</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2020-09-02T03:01:00Z</cp:lastPrinted>
  <dcterms:modified xsi:type="dcterms:W3CDTF">2020-09-02T07:11:12Z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