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rPr>
      </w:pPr>
      <w:r>
        <w:rPr>
          <w:rFonts w:hint="eastAsia" w:ascii="方正小标宋_GBK" w:hAnsi="华文中宋" w:eastAsia="方正小标宋_GBK"/>
          <w:b/>
          <w:bCs/>
          <w:spacing w:val="3"/>
          <w:sz w:val="44"/>
          <w:szCs w:val="44"/>
        </w:rPr>
        <w:t>惠州市国有建设用地使用权</w:t>
      </w:r>
    </w:p>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pacing w:val="3"/>
          <w:sz w:val="44"/>
          <w:szCs w:val="44"/>
        </w:rPr>
        <w:t>网上挂牌</w:t>
      </w:r>
      <w:r>
        <w:rPr>
          <w:rFonts w:hint="eastAsia" w:ascii="方正小标宋_GBK" w:hAnsi="华文中宋" w:eastAsia="方正小标宋_GBK"/>
          <w:b/>
          <w:bCs/>
          <w:sz w:val="44"/>
          <w:szCs w:val="44"/>
        </w:rPr>
        <w:t>出让须知</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（一）挂牌地块编号：GP20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w:t>
      </w:r>
    </w:p>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（二）地块位置：</w:t>
      </w:r>
      <w:r>
        <w:rPr>
          <w:rFonts w:hint="eastAsia" w:ascii="仿宋_GB2312" w:hAnsi="仿宋_GB2312" w:eastAsia="仿宋_GB2312" w:cs="仿宋_GB2312"/>
          <w:sz w:val="32"/>
          <w:szCs w:val="32"/>
          <w:lang w:val="en-US" w:eastAsia="zh-CN"/>
        </w:rPr>
        <w:t>惠州市惠城区</w:t>
      </w:r>
      <w:r>
        <w:rPr>
          <w:rFonts w:hint="eastAsia" w:ascii="仿宋_GB2312" w:hAnsi="仿宋_GB2312" w:eastAsia="仿宋_GB2312" w:cs="仿宋_GB2312"/>
          <w:sz w:val="32"/>
          <w:szCs w:val="32"/>
          <w:lang w:eastAsia="zh-CN"/>
        </w:rPr>
        <w:t>鹿江沥南岸;</w:t>
      </w:r>
    </w:p>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（三）规划编号</w:t>
      </w:r>
      <w:r>
        <w:rPr>
          <w:rFonts w:hint="eastAsia" w:ascii="仿宋_GB2312" w:hAnsi="仿宋_GB2312" w:eastAsia="仿宋_GB2312" w:cs="仿宋_GB2312"/>
          <w:sz w:val="32"/>
          <w:szCs w:val="32"/>
          <w:lang w:eastAsia="zh-CN"/>
        </w:rPr>
        <w:t>：LJL-47-</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eastAsia="zh-CN"/>
        </w:rPr>
        <w:t>;</w:t>
      </w:r>
    </w:p>
    <w:p>
      <w:pPr>
        <w:tabs>
          <w:tab w:val="left" w:pos="3388"/>
        </w:tabs>
        <w:spacing w:line="56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（四）地块范围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平面界址点</w:t>
      </w:r>
      <w:r>
        <w:rPr>
          <w:rFonts w:hint="eastAsia" w:ascii="仿宋_GB2312" w:hAnsi="仿宋_GB2312" w:eastAsia="仿宋_GB2312" w:cs="仿宋_GB2312"/>
          <w:sz w:val="32"/>
          <w:szCs w:val="32"/>
          <w:lang w:eastAsia="zh-CN"/>
        </w:rPr>
        <w:t>以建设用地红线图（案宗编号：</w:t>
      </w:r>
      <w:r>
        <w:rPr>
          <w:rFonts w:hint="eastAsia" w:ascii="仿宋_GB2312" w:hAnsi="仿宋_GB2312" w:eastAsia="仿宋_GB2312" w:cs="仿宋_GB2312"/>
          <w:sz w:val="32"/>
          <w:szCs w:val="32"/>
          <w:lang w:val="en-US" w:eastAsia="zh-CN"/>
        </w:rPr>
        <w:t>YD</w:t>
      </w:r>
      <w:r>
        <w:rPr>
          <w:rFonts w:hint="default" w:ascii="仿宋_GB2312" w:hAnsi="仿宋_GB2312" w:eastAsia="仿宋_GB2312" w:cs="仿宋_GB2312"/>
          <w:sz w:val="32"/>
          <w:szCs w:val="32"/>
          <w:lang w:val="en-US" w:eastAsia="zh-CN"/>
        </w:rPr>
        <w:t>20200075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为准，宗地竖向界限以《规划设计条件告知书（案卷编号：PB20200</w:t>
      </w:r>
      <w:r>
        <w:rPr>
          <w:rFonts w:hint="eastAsia" w:ascii="仿宋_GB2312" w:hAnsi="仿宋_GB2312" w:eastAsia="仿宋_GB2312" w:cs="仿宋_GB2312"/>
          <w:sz w:val="32"/>
          <w:szCs w:val="32"/>
          <w:lang w:val="en-US" w:eastAsia="zh-CN"/>
        </w:rPr>
        <w:t>100</w:t>
      </w:r>
      <w:r>
        <w:rPr>
          <w:rFonts w:hint="default"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rPr>
        <w:t>）》（以下简称“《告知书》”）规定为准</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宗地使用权</w:t>
      </w:r>
      <w:r>
        <w:rPr>
          <w:rFonts w:hint="eastAsia" w:ascii="仿宋_GB2312" w:hAnsi="仿宋_GB2312" w:eastAsia="仿宋_GB2312" w:cs="仿宋_GB2312"/>
          <w:sz w:val="32"/>
          <w:szCs w:val="32"/>
        </w:rPr>
        <w:t>面积为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35566.18</w:t>
      </w:r>
      <w:r>
        <w:rPr>
          <w:rFonts w:hint="eastAsia" w:ascii="仿宋_GB2312" w:hAnsi="仿宋_GB2312" w:eastAsia="仿宋_GB2312" w:cs="仿宋_GB2312"/>
          <w:sz w:val="32"/>
          <w:szCs w:val="32"/>
          <w:lang w:val="en-US" w:eastAsia="zh-CN"/>
        </w:rPr>
        <w:t>平方</w:t>
      </w:r>
      <w:r>
        <w:rPr>
          <w:rFonts w:hint="eastAsia" w:ascii="仿宋_GB2312" w:hAnsi="仿宋_GB2312" w:eastAsia="仿宋_GB2312" w:cs="仿宋_GB2312"/>
          <w:sz w:val="32"/>
          <w:szCs w:val="32"/>
        </w:rPr>
        <w:t>米；</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）计算指标用地面积</w:t>
      </w:r>
      <w:r>
        <w:rPr>
          <w:rFonts w:hint="eastAsia" w:ascii="仿宋_GB2312" w:hAnsi="仿宋_GB2312" w:eastAsia="仿宋_GB2312" w:cs="仿宋_GB2312"/>
          <w:sz w:val="32"/>
          <w:szCs w:val="32"/>
          <w:lang w:val="en-US" w:eastAsia="zh-CN"/>
        </w:rPr>
        <w:t>为：</w:t>
      </w:r>
      <w:r>
        <w:rPr>
          <w:rFonts w:hint="default" w:ascii="仿宋_GB2312" w:hAnsi="仿宋_GB2312" w:eastAsia="仿宋_GB2312" w:cs="仿宋_GB2312"/>
          <w:sz w:val="32"/>
          <w:szCs w:val="32"/>
          <w:lang w:val="en-US" w:eastAsia="zh-CN"/>
        </w:rPr>
        <w:t>40996.77</w:t>
      </w:r>
      <w:r>
        <w:rPr>
          <w:rFonts w:hint="eastAsia" w:ascii="仿宋_GB2312" w:hAnsi="仿宋_GB2312" w:eastAsia="仿宋_GB2312" w:cs="仿宋_GB2312"/>
          <w:sz w:val="32"/>
          <w:szCs w:val="32"/>
          <w:lang w:val="en-US" w:eastAsia="zh-CN"/>
        </w:rPr>
        <w:t>平方米；</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（七）计容积率建筑面积为：</w:t>
      </w:r>
      <w:r>
        <w:rPr>
          <w:rFonts w:hint="default" w:ascii="仿宋_GB2312" w:hAnsi="仿宋_GB2312" w:eastAsia="仿宋_GB2312" w:cs="仿宋_GB2312"/>
          <w:sz w:val="32"/>
          <w:szCs w:val="32"/>
          <w:lang w:val="en-US" w:eastAsia="zh-CN"/>
        </w:rPr>
        <w:t>≤143489㎡(其中：商业、商务建筑面积≤15%（不得建设公寓）；住宅面积&lt;115765；配套设施建筑面积&gt;6200）</w:t>
      </w:r>
      <w:r>
        <w:rPr>
          <w:rFonts w:hint="eastAsia" w:ascii="仿宋_GB2312" w:hAnsi="仿宋_GB2312" w:eastAsia="仿宋_GB2312" w:cs="仿宋_GB2312"/>
          <w:sz w:val="32"/>
          <w:szCs w:val="32"/>
          <w:lang w:val="en-US" w:eastAsia="zh-CN"/>
        </w:rPr>
        <w:t>；</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）土地用途为：</w:t>
      </w:r>
      <w:r>
        <w:rPr>
          <w:rFonts w:hint="eastAsia" w:ascii="仿宋_GB2312" w:hAnsi="仿宋_GB2312" w:eastAsia="仿宋_GB2312" w:cs="仿宋_GB2312"/>
          <w:sz w:val="32"/>
          <w:szCs w:val="32"/>
          <w:lang w:val="en-US" w:eastAsia="zh-CN"/>
        </w:rPr>
        <w:t>城镇住宅、商服</w:t>
      </w:r>
      <w:r>
        <w:rPr>
          <w:rFonts w:hint="default" w:ascii="仿宋_GB2312" w:hAnsi="仿宋_GB2312" w:eastAsia="仿宋_GB2312" w:cs="仿宋_GB2312"/>
          <w:sz w:val="32"/>
          <w:szCs w:val="32"/>
          <w:lang w:eastAsia="zh-CN"/>
        </w:rPr>
        <w:t>用地</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）土地使用权出让年期为：</w:t>
      </w:r>
      <w:r>
        <w:rPr>
          <w:rFonts w:hint="eastAsia" w:ascii="仿宋_GB2312" w:hAnsi="仿宋_GB2312" w:eastAsia="仿宋_GB2312" w:cs="仿宋_GB2312"/>
          <w:sz w:val="32"/>
          <w:szCs w:val="32"/>
          <w:lang w:val="en-US" w:eastAsia="zh-CN"/>
        </w:rPr>
        <w:t>城镇住宅</w:t>
      </w:r>
      <w:r>
        <w:rPr>
          <w:rFonts w:hint="eastAsia" w:ascii="仿宋_GB2312" w:hAnsi="仿宋_GB2312" w:eastAsia="仿宋_GB2312" w:cs="仿宋_GB2312"/>
          <w:sz w:val="32"/>
          <w:szCs w:val="32"/>
        </w:rPr>
        <w:t>用地</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0年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商服</w:t>
      </w:r>
      <w:r>
        <w:rPr>
          <w:rFonts w:hint="eastAsia" w:ascii="仿宋_GB2312" w:hAnsi="仿宋_GB2312" w:eastAsia="仿宋_GB2312" w:cs="仿宋_GB2312"/>
          <w:sz w:val="32"/>
          <w:szCs w:val="32"/>
        </w:rPr>
        <w:t>用地</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0年；</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（十）容积率为：≤3.5；</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十一）建筑密度为：</w:t>
      </w:r>
      <w:r>
        <w:rPr>
          <w:rFonts w:hint="default" w:ascii="仿宋_GB2312" w:hAnsi="仿宋_GB2312" w:eastAsia="仿宋_GB2312" w:cs="仿宋_GB2312"/>
          <w:sz w:val="32"/>
          <w:szCs w:val="32"/>
          <w:lang w:val="en-US" w:eastAsia="zh-CN"/>
        </w:rPr>
        <w:t>≤35％（住宅建筑密度≤22％）</w:t>
      </w:r>
      <w:r>
        <w:rPr>
          <w:rFonts w:hint="eastAsia" w:ascii="仿宋_GB2312" w:hAnsi="仿宋_GB2312" w:eastAsia="仿宋_GB2312" w:cs="仿宋_GB2312"/>
          <w:sz w:val="32"/>
          <w:szCs w:val="32"/>
          <w:lang w:val="en-US" w:eastAsia="zh-CN"/>
        </w:rPr>
        <w:t>；</w:t>
      </w:r>
    </w:p>
    <w:p>
      <w:pPr>
        <w:tabs>
          <w:tab w:val="left" w:pos="3388"/>
        </w:tabs>
        <w:spacing w:line="56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（十三）适建性：住宅、</w:t>
      </w:r>
      <w:r>
        <w:rPr>
          <w:rFonts w:hint="eastAsia" w:ascii="仿宋_GB2312" w:hAnsi="仿宋_GB2312" w:eastAsia="仿宋_GB2312" w:cs="仿宋_GB2312"/>
          <w:sz w:val="32"/>
          <w:szCs w:val="32"/>
          <w:lang w:eastAsia="zh-CN"/>
        </w:rPr>
        <w:t>商业</w:t>
      </w:r>
      <w:r>
        <w:rPr>
          <w:rFonts w:hint="eastAsia" w:ascii="仿宋_GB2312" w:hAnsi="仿宋_GB2312" w:eastAsia="仿宋_GB2312" w:cs="仿宋_GB2312"/>
          <w:sz w:val="32"/>
          <w:szCs w:val="32"/>
          <w:lang w:val="en-US" w:eastAsia="zh-CN"/>
        </w:rPr>
        <w:t>和商务及</w:t>
      </w:r>
      <w:r>
        <w:rPr>
          <w:rFonts w:hint="eastAsia" w:ascii="仿宋_GB2312" w:hAnsi="仿宋_GB2312" w:eastAsia="仿宋_GB2312" w:cs="仿宋_GB2312"/>
          <w:sz w:val="32"/>
          <w:szCs w:val="32"/>
          <w:lang w:eastAsia="zh-CN"/>
        </w:rPr>
        <w:t>配套设施</w:t>
      </w:r>
      <w:r>
        <w:rPr>
          <w:rFonts w:hint="eastAsia" w:ascii="仿宋_GB2312" w:hAnsi="仿宋_GB2312" w:eastAsia="仿宋_GB2312" w:cs="仿宋_GB2312"/>
          <w:sz w:val="32"/>
          <w:szCs w:val="32"/>
        </w:rPr>
        <w:t>；</w:t>
      </w:r>
    </w:p>
    <w:p>
      <w:pPr>
        <w:tabs>
          <w:tab w:val="left" w:pos="3388"/>
        </w:tabs>
        <w:spacing w:line="56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 动工及竣工时间：该地块的动工时间为地块交付之日起一年内，竣工时间为动工之日起三年内（因不可抗拒因素除外）；</w:t>
      </w:r>
    </w:p>
    <w:p>
      <w:pPr>
        <w:tabs>
          <w:tab w:val="left" w:pos="3388"/>
        </w:tabs>
        <w:spacing w:line="56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）竞得人在缴清地价款后</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个月内办理交地手续，凭《交地确认书》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出让合同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和地价款交款凭证</w:t>
      </w:r>
      <w:r>
        <w:rPr>
          <w:rFonts w:hint="eastAsia" w:ascii="仿宋_GB2312" w:hAnsi="仿宋_GB2312" w:eastAsia="仿宋_GB2312" w:cs="仿宋_GB2312"/>
          <w:sz w:val="32"/>
          <w:szCs w:val="32"/>
        </w:rPr>
        <w:t>等申请办理土地初始登记，领取《不动产权证书》。</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tabs>
          <w:tab w:val="left" w:pos="3388"/>
        </w:tabs>
        <w:spacing w:line="560" w:lineRule="exact"/>
        <w:ind w:firstLine="320" w:firstLineChars="1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（一）开发投资总额不少于</w:t>
      </w:r>
      <w:r>
        <w:rPr>
          <w:rFonts w:hint="eastAsia" w:ascii="仿宋_GB2312" w:hAnsi="仿宋_GB2312" w:eastAsia="仿宋_GB2312" w:cs="仿宋_GB2312"/>
          <w:sz w:val="32"/>
          <w:szCs w:val="32"/>
          <w:lang w:val="en-US" w:eastAsia="zh-CN"/>
        </w:rPr>
        <w:t>126490</w:t>
      </w:r>
      <w:r>
        <w:rPr>
          <w:rFonts w:hint="default" w:ascii="仿宋_GB2312" w:hAnsi="仿宋_GB2312" w:eastAsia="仿宋_GB2312" w:cs="仿宋_GB2312"/>
          <w:sz w:val="32"/>
          <w:szCs w:val="32"/>
          <w:lang w:val="en-US" w:eastAsia="zh-CN"/>
        </w:rPr>
        <w:t>万元（含地价,不含地价溢价部分）。</w:t>
      </w:r>
    </w:p>
    <w:p>
      <w:pPr>
        <w:tabs>
          <w:tab w:val="left" w:pos="3388"/>
        </w:tabs>
        <w:spacing w:line="560" w:lineRule="exact"/>
        <w:ind w:firstLine="320" w:firstLineChars="1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（二）土地成交价款须以人民币支付,竞得人在签订《出让合同》之日起</w:t>
      </w:r>
      <w:r>
        <w:rPr>
          <w:rFonts w:hint="eastAsia" w:ascii="仿宋_GB2312" w:hAnsi="仿宋_GB2312" w:eastAsia="仿宋_GB2312" w:cs="仿宋_GB2312"/>
          <w:sz w:val="32"/>
          <w:szCs w:val="32"/>
          <w:lang w:val="en-US" w:eastAsia="zh-CN"/>
        </w:rPr>
        <w:t>30</w:t>
      </w:r>
      <w:r>
        <w:rPr>
          <w:rFonts w:hint="default" w:ascii="仿宋_GB2312" w:hAnsi="仿宋_GB2312" w:eastAsia="仿宋_GB2312" w:cs="仿宋_GB2312"/>
          <w:sz w:val="32"/>
          <w:szCs w:val="32"/>
          <w:lang w:val="en-US" w:eastAsia="zh-CN"/>
        </w:rPr>
        <w:t>内付清全部成交价款。</w:t>
      </w:r>
    </w:p>
    <w:p>
      <w:pPr>
        <w:tabs>
          <w:tab w:val="left" w:pos="3388"/>
        </w:tabs>
        <w:spacing w:line="560" w:lineRule="exact"/>
        <w:ind w:firstLine="320" w:firstLineChars="1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（三）该地权利清晰，安置补偿落实到位，没有法律经济纠纷，具备动工开发所必须的基本条件。</w:t>
      </w:r>
    </w:p>
    <w:p>
      <w:pPr>
        <w:keepNext w:val="0"/>
        <w:keepLines w:val="0"/>
        <w:pageBreakBefore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 w:eastAsia="仿宋_GB2312"/>
          <w:kern w:val="2"/>
          <w:sz w:val="32"/>
          <w:szCs w:val="32"/>
          <w:lang w:eastAsia="zh-CN"/>
        </w:rPr>
      </w:pPr>
      <w:r>
        <w:rPr>
          <w:rFonts w:hint="eastAsia" w:ascii="仿宋_GB2312" w:hAnsi="仿宋" w:eastAsia="仿宋_GB2312"/>
          <w:kern w:val="2"/>
          <w:sz w:val="32"/>
          <w:szCs w:val="32"/>
          <w:lang w:eastAsia="zh-CN"/>
        </w:rPr>
        <w:t>（</w:t>
      </w:r>
      <w:r>
        <w:rPr>
          <w:rFonts w:hint="eastAsia" w:ascii="仿宋_GB2312" w:hAnsi="仿宋" w:eastAsia="仿宋_GB2312"/>
          <w:kern w:val="2"/>
          <w:sz w:val="32"/>
          <w:szCs w:val="32"/>
          <w:lang w:val="en-US" w:eastAsia="zh-CN"/>
        </w:rPr>
        <w:t>四</w:t>
      </w:r>
      <w:r>
        <w:rPr>
          <w:rFonts w:hint="eastAsia" w:ascii="仿宋_GB2312" w:hAnsi="仿宋" w:eastAsia="仿宋_GB2312"/>
          <w:kern w:val="2"/>
          <w:sz w:val="32"/>
          <w:szCs w:val="32"/>
          <w:lang w:eastAsia="zh-CN"/>
        </w:rPr>
        <w:t>）竞得人在用地红线内开发建设必须符合城市规划要求，必须按《告知书》（案卷编号：PB20</w:t>
      </w:r>
      <w:r>
        <w:rPr>
          <w:rFonts w:hint="default" w:ascii="仿宋_GB2312" w:hAnsi="仿宋" w:eastAsia="仿宋_GB2312"/>
          <w:kern w:val="2"/>
          <w:sz w:val="32"/>
          <w:szCs w:val="32"/>
          <w:lang w:val="en-US" w:eastAsia="zh-CN"/>
        </w:rPr>
        <w:t>200</w:t>
      </w:r>
      <w:r>
        <w:rPr>
          <w:rFonts w:hint="eastAsia" w:ascii="仿宋_GB2312" w:hAnsi="仿宋" w:eastAsia="仿宋_GB2312"/>
          <w:kern w:val="2"/>
          <w:sz w:val="32"/>
          <w:szCs w:val="32"/>
          <w:lang w:val="en-US" w:eastAsia="zh-CN"/>
        </w:rPr>
        <w:t>100</w:t>
      </w:r>
      <w:r>
        <w:rPr>
          <w:rFonts w:hint="eastAsia" w:ascii="仿宋_GB2312" w:hAnsi="仿宋" w:eastAsia="仿宋_GB2312"/>
          <w:kern w:val="2"/>
          <w:sz w:val="32"/>
          <w:szCs w:val="32"/>
          <w:lang w:eastAsia="zh-CN"/>
        </w:rPr>
        <w:t>）规划控制指标要求及有关规定进行规划设计。</w:t>
      </w:r>
    </w:p>
    <w:p>
      <w:pPr>
        <w:keepNext w:val="0"/>
        <w:keepLines w:val="0"/>
        <w:pageBreakBefore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 w:eastAsia="仿宋_GB2312"/>
          <w:kern w:val="2"/>
          <w:sz w:val="32"/>
          <w:szCs w:val="32"/>
          <w:lang w:val="en-US" w:eastAsia="zh-CN"/>
        </w:rPr>
      </w:pPr>
      <w:r>
        <w:rPr>
          <w:rFonts w:hint="eastAsia" w:ascii="仿宋_GB2312" w:hAnsi="仿宋" w:eastAsia="仿宋_GB2312"/>
          <w:kern w:val="2"/>
          <w:sz w:val="32"/>
          <w:szCs w:val="32"/>
        </w:rPr>
        <w:t>（</w:t>
      </w:r>
      <w:r>
        <w:rPr>
          <w:rFonts w:hint="eastAsia" w:ascii="仿宋_GB2312" w:hAnsi="仿宋" w:eastAsia="仿宋_GB2312"/>
          <w:kern w:val="2"/>
          <w:sz w:val="32"/>
          <w:szCs w:val="32"/>
          <w:lang w:val="en-US" w:eastAsia="zh-CN"/>
        </w:rPr>
        <w:t>五</w:t>
      </w:r>
      <w:r>
        <w:rPr>
          <w:rFonts w:hint="eastAsia" w:ascii="仿宋_GB2312" w:hAnsi="仿宋" w:eastAsia="仿宋_GB2312"/>
          <w:kern w:val="2"/>
          <w:sz w:val="32"/>
          <w:szCs w:val="32"/>
        </w:rPr>
        <w:t>）</w:t>
      </w:r>
      <w:r>
        <w:rPr>
          <w:rFonts w:hint="eastAsia" w:ascii="仿宋_GB2312" w:hAnsi="仿宋" w:eastAsia="仿宋_GB2312"/>
          <w:kern w:val="2"/>
          <w:sz w:val="32"/>
          <w:szCs w:val="32"/>
          <w:lang w:eastAsia="zh-CN"/>
        </w:rPr>
        <w:t>本用地内部、东侧和北侧的密路网（包括雨水管和污水管）须由取得</w:t>
      </w:r>
      <w:r>
        <w:rPr>
          <w:rFonts w:hint="eastAsia" w:ascii="仿宋_GB2312" w:hAnsi="仿宋" w:eastAsia="仿宋_GB2312"/>
          <w:kern w:val="2"/>
          <w:sz w:val="32"/>
          <w:szCs w:val="32"/>
          <w:lang w:val="en-US" w:eastAsia="zh-CN"/>
        </w:rPr>
        <w:t>LJL-47-19地块的土地使用权者负责建设。密路网建成后无偿交给市政工程行政主管部门管理，并开放给公众使用。</w:t>
      </w:r>
    </w:p>
    <w:p>
      <w:pPr>
        <w:keepNext w:val="0"/>
        <w:keepLines w:val="0"/>
        <w:pageBreakBefore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 w:eastAsia="仿宋_GB2312"/>
          <w:sz w:val="32"/>
          <w:szCs w:val="32"/>
        </w:rPr>
      </w:pPr>
      <w:r>
        <w:rPr>
          <w:rFonts w:hint="eastAsia" w:ascii="仿宋_GB2312" w:hAnsi="仿宋" w:eastAsia="仿宋_GB2312"/>
          <w:kern w:val="2"/>
          <w:sz w:val="32"/>
          <w:szCs w:val="32"/>
        </w:rPr>
        <w:t>（</w:t>
      </w:r>
      <w:r>
        <w:rPr>
          <w:rFonts w:hint="eastAsia" w:ascii="仿宋_GB2312" w:hAnsi="仿宋" w:eastAsia="仿宋_GB2312"/>
          <w:kern w:val="2"/>
          <w:sz w:val="32"/>
          <w:szCs w:val="32"/>
          <w:lang w:val="en-US" w:eastAsia="zh-CN"/>
        </w:rPr>
        <w:t>六</w:t>
      </w:r>
      <w:r>
        <w:rPr>
          <w:rFonts w:hint="eastAsia" w:ascii="仿宋_GB2312" w:hAnsi="仿宋" w:eastAsia="仿宋_GB2312"/>
          <w:kern w:val="2"/>
          <w:sz w:val="32"/>
          <w:szCs w:val="32"/>
        </w:rPr>
        <w:t>）</w:t>
      </w:r>
      <w:r>
        <w:rPr>
          <w:rFonts w:hint="eastAsia" w:ascii="仿宋_GB2312" w:hAnsi="仿宋" w:eastAsia="仿宋_GB2312"/>
          <w:kern w:val="2"/>
          <w:sz w:val="32"/>
          <w:szCs w:val="32"/>
          <w:lang w:eastAsia="zh-CN"/>
        </w:rPr>
        <w:t>地块内的配套幼儿园应与</w:t>
      </w:r>
      <w:r>
        <w:rPr>
          <w:rFonts w:hint="eastAsia" w:ascii="仿宋_GB2312" w:hAnsi="仿宋" w:eastAsia="仿宋_GB2312"/>
          <w:kern w:val="2"/>
          <w:sz w:val="32"/>
          <w:szCs w:val="32"/>
          <w:lang w:val="en-US" w:eastAsia="zh-CN"/>
        </w:rPr>
        <w:t>LJL-47-19地块同步规划设计、同步建设、同步验收交付使用</w:t>
      </w:r>
      <w:r>
        <w:rPr>
          <w:rFonts w:hint="eastAsia" w:ascii="仿宋_GB2312" w:hAnsi="仿宋" w:eastAsia="仿宋_GB2312"/>
          <w:kern w:val="2"/>
          <w:sz w:val="32"/>
          <w:szCs w:val="32"/>
          <w:lang w:eastAsia="zh-CN"/>
        </w:rPr>
        <w:t>，如</w:t>
      </w:r>
      <w:r>
        <w:rPr>
          <w:rFonts w:hint="eastAsia" w:ascii="仿宋_GB2312" w:hAnsi="仿宋" w:eastAsia="仿宋_GB2312"/>
          <w:kern w:val="2"/>
          <w:sz w:val="32"/>
          <w:szCs w:val="32"/>
          <w:lang w:val="en-US" w:eastAsia="zh-CN"/>
        </w:rPr>
        <w:t>本用地分期建设，该幼儿园应纳入首期工程。</w:t>
      </w:r>
      <w:r>
        <w:rPr>
          <w:rFonts w:hint="eastAsia" w:ascii="仿宋_GB2312" w:hAnsi="仿宋" w:eastAsia="仿宋_GB2312"/>
          <w:kern w:val="2"/>
          <w:sz w:val="32"/>
          <w:szCs w:val="32"/>
          <w:lang w:eastAsia="zh-CN"/>
        </w:rPr>
        <w:t>在办理用地供地手续时，应将整个地块办理出让手续，在出让合同中明确由地块使用权人按照规划要求和惠城区教育局提出的建设标准完成配套幼儿园建设并无偿移交，不动产登记部门在办理分割登记时，将幼儿园办至惠城区教育局名下。</w:t>
      </w:r>
    </w:p>
    <w:p>
      <w:pPr>
        <w:tabs>
          <w:tab w:val="left" w:pos="3388"/>
        </w:tabs>
        <w:spacing w:line="560" w:lineRule="exact"/>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中华人民共和国境内外的法人、自然人和其他组织（除法律法规另有规定外），均可申请参加竞买。申请人可以单独申请，也可以联合申请。申请人还应具备下列条件：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（一）按时，足额交纳竞买保证金。该宗地竞买保证金可用人民币或外币（暂限于美元、港币）支付。以人民币缴交竞买保证金的，须缴交人民币</w:t>
      </w:r>
      <w:r>
        <w:rPr>
          <w:rFonts w:hint="eastAsia" w:ascii="仿宋_GB2312" w:hAnsi="仿宋_GB2312" w:eastAsia="仿宋_GB2312" w:cs="仿宋_GB2312"/>
          <w:kern w:val="0"/>
          <w:sz w:val="32"/>
          <w:szCs w:val="32"/>
          <w:lang w:val="en-US" w:eastAsia="zh-CN"/>
        </w:rPr>
        <w:t>16690</w:t>
      </w:r>
      <w:r>
        <w:rPr>
          <w:rFonts w:hint="eastAsia" w:ascii="仿宋_GB2312" w:hAnsi="仿宋_GB2312" w:eastAsia="仿宋_GB2312" w:cs="仿宋_GB2312"/>
          <w:kern w:val="0"/>
          <w:sz w:val="32"/>
          <w:szCs w:val="32"/>
        </w:rPr>
        <w:t>万元，如以外币缴交竞买保证金的，须缴交美元</w:t>
      </w:r>
      <w:r>
        <w:rPr>
          <w:rFonts w:hint="eastAsia" w:ascii="仿宋_GB2312" w:hAnsi="仿宋_GB2312" w:eastAsia="仿宋_GB2312" w:cs="仿宋_GB2312"/>
          <w:kern w:val="0"/>
          <w:sz w:val="32"/>
          <w:szCs w:val="32"/>
          <w:lang w:val="en-US" w:eastAsia="zh-CN"/>
        </w:rPr>
        <w:t>2444</w:t>
      </w:r>
      <w:r>
        <w:rPr>
          <w:rFonts w:hint="eastAsia" w:ascii="仿宋_GB2312" w:hAnsi="仿宋_GB2312" w:eastAsia="仿宋_GB2312" w:cs="仿宋_GB2312"/>
          <w:kern w:val="0"/>
          <w:sz w:val="32"/>
          <w:szCs w:val="32"/>
        </w:rPr>
        <w:t>万元或港币</w:t>
      </w:r>
      <w:r>
        <w:rPr>
          <w:rFonts w:hint="eastAsia" w:ascii="仿宋_GB2312" w:hAnsi="仿宋_GB2312" w:eastAsia="仿宋_GB2312" w:cs="仿宋_GB2312"/>
          <w:kern w:val="0"/>
          <w:sz w:val="32"/>
          <w:szCs w:val="32"/>
          <w:lang w:val="en-US" w:eastAsia="zh-CN"/>
        </w:rPr>
        <w:t>18938</w:t>
      </w:r>
      <w:r>
        <w:rPr>
          <w:rFonts w:hint="eastAsia" w:ascii="仿宋_GB2312" w:hAnsi="仿宋_GB2312" w:eastAsia="仿宋_GB2312" w:cs="仿宋_GB2312"/>
          <w:kern w:val="0"/>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（二）预先办理数字证书。本次国有建设用地使用权网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（三）申请人及其控股股东存在下列违法、违规、违约行为之一的，不得参与上述地块竞买活动：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1、存在伪造公文骗取用地和非法倒卖土地等犯罪行为的；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2、存在非法转让土地使用权等违法行为的；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3、因企业原因造成土地闲置一年以上且至报名日止未处罚完结的；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4、开发建设企业有违背出让合同约定条件开发利用土地情形且至报名日止未处罚完结的；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5、至报名日止仍拖欠政府地价款的;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6、被列入问题楼盘开发企业黑名单的;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7、存在其它被禁止竞买土地行为的。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竞得人缴交的保证金中按成交价的10%转作定金。竞得人有下列行为之一的，视为违约，取消竞得人资格，没收保证金,并由有关部门依法处理;造成损失的，竞得人还应依法承担赔偿责任：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（一）不符合竞买资格条件的。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挂牌起始价为人民币</w:t>
      </w:r>
      <w:r>
        <w:rPr>
          <w:rFonts w:hint="eastAsia" w:ascii="仿宋_GB2312" w:hAnsi="仿宋_GB2312" w:eastAsia="仿宋_GB2312" w:cs="仿宋_GB2312"/>
          <w:sz w:val="32"/>
          <w:szCs w:val="32"/>
          <w:u w:val="single"/>
          <w:lang w:val="en-US" w:eastAsia="zh-CN"/>
        </w:rPr>
        <w:t>捌亿叁仟肆佰伍拾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83450</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lang w:val="en-US" w:eastAsia="zh-CN"/>
        </w:rPr>
        <w:t>壹仟</w:t>
      </w:r>
      <w:r>
        <w:rPr>
          <w:rFonts w:hint="eastAsia" w:ascii="仿宋_GB2312" w:hAnsi="仿宋_GB2312" w:eastAsia="仿宋_GB2312" w:cs="仿宋_GB2312"/>
          <w:sz w:val="32"/>
          <w:szCs w:val="32"/>
          <w:u w:val="single"/>
        </w:rPr>
        <w:t>万元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1000</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（一）网上挂牌起始时间：2020年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日10时。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申请人可在网上挂牌交易系统浏览或下载本次网上挂牌出让文件，具体包括：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1、《惠州市国有建设用地使用权和矿业权电子挂牌交易规则》；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2、《惠州市国有建设用地使用权网上挂牌交易操作说明》；</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3、网上挂牌出让公告；</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4、挂牌出让地块现状图；</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5、惠州市国有建设用地使用权网上挂牌出让须知；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6、竞买申请书（样本）；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7、惠州市公共资源交易中心土地与矿业网上挂牌交易成交通知书（样本）；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8、《国有建设用地使用权出让合同》（以下简称“出让合同”）样本；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9、宗地规划指标要求；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10、附件。</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rPr>
      </w:pPr>
      <w:bookmarkStart w:id="4" w:name="103"/>
      <w:bookmarkEnd w:id="4"/>
      <w:r>
        <w:rPr>
          <w:rFonts w:hint="eastAsia" w:ascii="仿宋_GB2312" w:hAnsi="仿宋_GB2312" w:eastAsia="仿宋_GB2312" w:cs="仿宋_GB2312"/>
          <w:b/>
          <w:bCs/>
          <w:sz w:val="32"/>
          <w:szCs w:val="32"/>
        </w:rPr>
        <w:t xml:space="preserve"> 十二、竞买保证金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（一）竞买保证金是申请人参加网上挂牌交易活动的资格条件。按规定将竞买保证金汇入指定账户，是参加网上挂牌交易活动的必经程序。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（二）本宗地竞买保证金到账截止时间为2020年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壹亿陆仟陆</w:t>
      </w:r>
      <w:r>
        <w:rPr>
          <w:rFonts w:hint="eastAsia" w:ascii="仿宋_GB2312" w:hAnsi="仿宋_GB2312" w:eastAsia="仿宋_GB2312" w:cs="仿宋_GB2312"/>
          <w:sz w:val="32"/>
          <w:szCs w:val="32"/>
          <w:u w:val="single"/>
        </w:rPr>
        <w:t>佰</w:t>
      </w:r>
      <w:r>
        <w:rPr>
          <w:rFonts w:hint="eastAsia" w:ascii="仿宋_GB2312" w:hAnsi="仿宋_GB2312" w:eastAsia="仿宋_GB2312" w:cs="仿宋_GB2312"/>
          <w:sz w:val="32"/>
          <w:szCs w:val="32"/>
          <w:u w:val="single"/>
          <w:lang w:val="en-US" w:eastAsia="zh-CN"/>
        </w:rPr>
        <w:t>玖拾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16690</w:t>
      </w:r>
      <w:r>
        <w:rPr>
          <w:rFonts w:hint="eastAsia" w:ascii="仿宋_GB2312" w:hAnsi="仿宋_GB2312" w:eastAsia="仿宋_GB2312" w:cs="仿宋_GB2312"/>
          <w:sz w:val="32"/>
          <w:szCs w:val="32"/>
        </w:rPr>
        <w:t>万元）；如以外币缴交竞买保证金的，须缴交美元</w:t>
      </w:r>
      <w:r>
        <w:rPr>
          <w:rFonts w:hint="eastAsia" w:ascii="仿宋_GB2312" w:hAnsi="仿宋_GB2312" w:eastAsia="仿宋_GB2312" w:cs="仿宋_GB2312"/>
          <w:sz w:val="32"/>
          <w:szCs w:val="32"/>
          <w:u w:val="single"/>
          <w:lang w:val="en-US" w:eastAsia="zh-CN"/>
        </w:rPr>
        <w:t>贰仟肆佰肆拾肆</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2444</w:t>
      </w:r>
      <w:r>
        <w:rPr>
          <w:rFonts w:hint="eastAsia" w:ascii="仿宋_GB2312" w:hAnsi="仿宋_GB2312" w:eastAsia="仿宋_GB2312" w:cs="仿宋_GB2312"/>
          <w:sz w:val="32"/>
          <w:szCs w:val="32"/>
        </w:rPr>
        <w:t>万元）或港币</w:t>
      </w:r>
      <w:r>
        <w:rPr>
          <w:rFonts w:hint="eastAsia" w:ascii="仿宋_GB2312" w:hAnsi="仿宋_GB2312" w:eastAsia="仿宋_GB2312" w:cs="仿宋_GB2312"/>
          <w:sz w:val="32"/>
          <w:szCs w:val="32"/>
          <w:u w:val="single"/>
          <w:lang w:val="en-US" w:eastAsia="zh-CN"/>
        </w:rPr>
        <w:t>壹亿捌仟玖</w:t>
      </w:r>
      <w:r>
        <w:rPr>
          <w:rFonts w:hint="eastAsia" w:ascii="仿宋_GB2312" w:hAnsi="仿宋_GB2312" w:eastAsia="仿宋_GB2312" w:cs="仿宋_GB2312"/>
          <w:sz w:val="32"/>
          <w:szCs w:val="32"/>
          <w:u w:val="single"/>
        </w:rPr>
        <w:t>佰</w:t>
      </w:r>
      <w:r>
        <w:rPr>
          <w:rFonts w:hint="eastAsia" w:ascii="仿宋_GB2312" w:hAnsi="仿宋_GB2312" w:eastAsia="仿宋_GB2312" w:cs="仿宋_GB2312"/>
          <w:sz w:val="32"/>
          <w:szCs w:val="32"/>
          <w:u w:val="single"/>
          <w:lang w:val="en-US" w:eastAsia="zh-CN"/>
        </w:rPr>
        <w:t>叁拾捌</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(HKD</w:t>
      </w:r>
      <w:r>
        <w:rPr>
          <w:rFonts w:hint="eastAsia" w:ascii="仿宋_GB2312" w:hAnsi="仿宋_GB2312" w:eastAsia="仿宋_GB2312" w:cs="仿宋_GB2312"/>
          <w:sz w:val="32"/>
          <w:szCs w:val="32"/>
          <w:u w:val="single"/>
          <w:lang w:val="en-US" w:eastAsia="zh-CN"/>
        </w:rPr>
        <w:t>18938</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（四）跨地区或跨行转账的竞买人，需预足资金的在途时间，以免影响竞买人及时取得竞买资格。</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（五）竞买保证金到账时间以网上挂牌交易系统颁发《保证金到账通知书》为准。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竞买保证金开户单位：惠州市公共资源交易中心</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1、中国建设银行惠州广场支行。</w:t>
      </w:r>
    </w:p>
    <w:p>
      <w:pPr>
        <w:spacing w:line="560" w:lineRule="exact"/>
        <w:ind w:left="640" w:hanging="640" w:hangingChars="200"/>
        <w:jc w:val="left"/>
        <w:rPr>
          <w:rFonts w:ascii="仿宋_GB2312" w:eastAsia="仿宋_GB2312"/>
          <w:sz w:val="32"/>
          <w:szCs w:val="32"/>
        </w:rPr>
      </w:pPr>
      <w:r>
        <w:rPr>
          <w:rFonts w:hint="eastAsia" w:ascii="仿宋_GB2312" w:eastAsia="仿宋_GB2312"/>
          <w:sz w:val="32"/>
          <w:szCs w:val="32"/>
        </w:rPr>
        <w:t xml:space="preserve">    2、中国银行惠州分行。                                 3、中国工商银行股份有限公司惠州富力国际中心支行 。</w:t>
      </w:r>
    </w:p>
    <w:p>
      <w:pPr>
        <w:spacing w:line="560" w:lineRule="exact"/>
        <w:jc w:val="left"/>
        <w:rPr>
          <w:rFonts w:ascii="仿宋_GB2312" w:eastAsia="仿宋_GB2312"/>
          <w:sz w:val="32"/>
          <w:szCs w:val="32"/>
        </w:rPr>
      </w:pPr>
      <w:r>
        <w:rPr>
          <w:rFonts w:hint="eastAsia" w:ascii="仿宋_GB2312" w:eastAsia="仿宋_GB2312"/>
          <w:sz w:val="32"/>
          <w:szCs w:val="32"/>
        </w:rPr>
        <w:t xml:space="preserve">    4、中国农业银行惠州分行。</w:t>
      </w:r>
    </w:p>
    <w:p>
      <w:pPr>
        <w:spacing w:line="560" w:lineRule="exact"/>
        <w:ind w:firstLine="630"/>
        <w:jc w:val="left"/>
        <w:rPr>
          <w:rFonts w:ascii="仿宋_GB2312" w:eastAsia="仿宋_GB2312"/>
          <w:sz w:val="32"/>
          <w:szCs w:val="32"/>
        </w:rPr>
      </w:pPr>
      <w:r>
        <w:rPr>
          <w:rFonts w:hint="eastAsia" w:ascii="仿宋_GB2312" w:eastAsia="仿宋_GB2312"/>
          <w:sz w:val="32"/>
          <w:szCs w:val="32"/>
        </w:rPr>
        <w:t>5、中信银行股份有限公司惠州分行。(备注:中信银行股份有限公司惠州分行本行转帐须到银行柜面办理)。</w:t>
      </w:r>
    </w:p>
    <w:p>
      <w:pPr>
        <w:spacing w:line="560" w:lineRule="exact"/>
        <w:ind w:firstLine="630"/>
        <w:jc w:val="left"/>
        <w:rPr>
          <w:rFonts w:ascii="仿宋_GB2312" w:eastAsia="仿宋_GB2312"/>
          <w:sz w:val="32"/>
          <w:szCs w:val="32"/>
        </w:rPr>
      </w:pPr>
      <w:r>
        <w:rPr>
          <w:rFonts w:hint="eastAsia" w:ascii="仿宋_GB2312" w:eastAsia="仿宋_GB2312"/>
          <w:sz w:val="32"/>
          <w:szCs w:val="32"/>
        </w:rPr>
        <w:t>6、惠州市农村商业银行股份有限公司惠城支行。</w:t>
      </w:r>
    </w:p>
    <w:p>
      <w:pPr>
        <w:spacing w:line="560" w:lineRule="exact"/>
        <w:ind w:firstLine="630"/>
        <w:jc w:val="left"/>
        <w:rPr>
          <w:rFonts w:ascii="仿宋_GB2312" w:eastAsia="仿宋_GB2312"/>
          <w:sz w:val="32"/>
          <w:szCs w:val="32"/>
        </w:rPr>
      </w:pPr>
      <w:r>
        <w:rPr>
          <w:rFonts w:hint="eastAsia" w:ascii="仿宋_GB2312" w:eastAsia="仿宋_GB2312"/>
          <w:sz w:val="32"/>
          <w:szCs w:val="32"/>
        </w:rPr>
        <w:t>7、交通银行惠州分行。</w:t>
      </w:r>
    </w:p>
    <w:p>
      <w:pPr>
        <w:spacing w:line="560" w:lineRule="exact"/>
        <w:jc w:val="left"/>
        <w:rPr>
          <w:rFonts w:ascii="仿宋_GB2312" w:eastAsia="仿宋_GB2312"/>
          <w:sz w:val="32"/>
          <w:szCs w:val="32"/>
        </w:rPr>
      </w:pPr>
      <w:r>
        <w:rPr>
          <w:rFonts w:hint="eastAsia" w:ascii="仿宋_GB2312" w:eastAsia="仿宋_GB2312"/>
          <w:sz w:val="32"/>
          <w:szCs w:val="32"/>
        </w:rPr>
        <w:t xml:space="preserve">    8、上海浦东发展银行股份有限公司惠州分行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9、广发银行惠州江北支行。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10、中国民生银行股份有限公司惠州分行。</w:t>
      </w:r>
    </w:p>
    <w:p>
      <w:pPr>
        <w:ind w:firstLine="568"/>
        <w:rPr>
          <w:rFonts w:hint="eastAsia" w:ascii="仿宋_GB2312" w:eastAsia="仿宋_GB2312"/>
          <w:sz w:val="32"/>
          <w:szCs w:val="32"/>
        </w:rPr>
      </w:pPr>
      <w:r>
        <w:rPr>
          <w:rFonts w:hint="eastAsia" w:ascii="仿宋_GB2312" w:eastAsia="仿宋_GB2312"/>
          <w:sz w:val="32"/>
          <w:szCs w:val="32"/>
          <w:lang w:val="en-US" w:eastAsia="zh-CN"/>
        </w:rPr>
        <w:t>11、中国光大银行股份有限公司惠州分行。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（六）保证金账号：网上挂牌交易系统随机产生子账号。</w:t>
      </w:r>
    </w:p>
    <w:p>
      <w:pPr>
        <w:tabs>
          <w:tab w:val="left" w:pos="3388"/>
        </w:tabs>
        <w:spacing w:line="560" w:lineRule="exact"/>
        <w:jc w:val="left"/>
        <w:rPr>
          <w:rFonts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（一）本次网上挂牌以增价方式进行报价，每次加价幅度为本须知规定增价幅度的整数倍。</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（二）竞买人的首次报价不低于起始价，此后的竞买人报价须高于报价当时的最新网上挂牌价格，并以增价幅度的整数倍加价。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（三）竞买人通过网上挂牌交易提交的报价一经报出，不得撤回。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（四）在报价期间，竞买人可多次报价。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（五）在报价期内，竞买人必须进行一次有效报价，才能参加网上限时竞价。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（六）竞买人报价有下列情形之一的，为无效报价：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1、报价未在网上挂牌期限内收到的。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2、报价因竞买人网络故障未在网上挂牌报价期限内收到的。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3、报价不符合报价规则的。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4、报价低于网上挂牌起始价的。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5、报价不符合网上挂牌公告、须知及相关交易文件规定的其他情形。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十四、系统操作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本中心网上挂牌交易系统（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）有模拟操作平台，有需要的竞买人可到我中心土地矿业交易部通过模拟平台进行操作培训。</w:t>
      </w:r>
    </w:p>
    <w:p>
      <w:pPr>
        <w:tabs>
          <w:tab w:val="left" w:pos="3388"/>
        </w:tabs>
        <w:spacing w:line="560" w:lineRule="exact"/>
        <w:jc w:val="left"/>
        <w:rPr>
          <w:rFonts w:ascii="仿宋_GB2312" w:hAnsi="仿宋_GB2312" w:eastAsia="仿宋_GB2312" w:cs="仿宋_GB2312"/>
          <w:sz w:val="32"/>
          <w:szCs w:val="32"/>
        </w:rPr>
      </w:pPr>
      <w:bookmarkStart w:id="6" w:name="106"/>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4、网上挂牌交易系统继续接受新的报价。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5、网上挂牌报价规则见《须知》第十三条。</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网上挂牌截止由网上挂牌交易系统自动确定。在公告规定的网上挂牌截止时间，网上挂牌交易系统将显示最高报价，并询问竞买人是否愿意继续竞价（限时竞价）。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1、网上挂牌交易系统将在网上挂牌截止时间自动确定网上挂牌截止。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2、网上挂牌交易系统显示最高报价，并询问竞买人是否愿意继续竞价。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4、有竞买人表示愿意继续竞价的，网上挂牌交易系统自动进入网上限时竞价程序。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5、经网上挂牌交易系统询问完毕后，没有竞买人表示愿意继续竞价的，网上挂牌交易系统按下列规定确定网上挂牌结果：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（1）最高报价高于或等于起始价的，网上挂牌交易系统显示网上挂牌成交，最高报价的出价人为竞得人。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（2）无人应价的，网上挂牌交易显示网上挂牌不成交。</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2、5分钟限时竞价内没有新的报价，网上挂牌交易系统将自动关闭报价通道，当前最高报价为最终报价，网上挂牌交易系统确认最高报价者为竞得人。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3、在网上限时竞价中无人报价的，以网上挂牌截止时出价最高者为竞得人，但低于网上挂牌交易底价者除外。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1、网上挂牌交易结束后，竞得人应当自行下载打印《竞买申请书》、《竞价结果通知书》并盖章。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2、竞得人应当在网上挂牌交易结果公布后的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个工作日内持公司公章及下列有关纸质材料到本中心进行资格审查并签订《成交确认书》：</w:t>
      </w:r>
    </w:p>
    <w:p>
      <w:pPr>
        <w:tabs>
          <w:tab w:val="left" w:pos="3388"/>
        </w:tabs>
        <w:spacing w:line="560" w:lineRule="exact"/>
        <w:ind w:firstLine="419" w:firstLineChars="13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（2）《竞价结果通知书》（加盖公章）。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（3）《竞买保证金到账通知书》（加盖公章）。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（4）转帐凭证复印件（加盖公章）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（5）申请竞买人有效的《营业执照》复印件（加盖公章）（二份）。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）法定代表人身份证复印件（加盖公章）（二份）。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）联合竞买协议（联合竞买的提供）。</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竞买人如需保存上述竞买报名资料应自留备份，本中心不予退还。</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联合竞买协议要约定联合各方的权利和义务。必须明确表达参与联合竞买的各方、参与竞买的代表人、联合各方的出资比例和签订《出让合同》时的受让人。</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（二）本次国有建设用地使用权网上挂牌出让为无底价挂牌出让，按照价高者得的原则确定竞得人。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（五）确定竞得人后，竞得人持《惠州市公共资源交易中心网上挂牌交易成交通知书》以及参加本宗地网上挂牌交易的所须资料到惠州市公共资源交易中心土地矿业交易部申办相关成交确认手续。</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《惠州市公共资源交易中心网上挂牌交易成交通知书》对挂牌人和竞得人具有法律效力，挂牌人改变网上挂牌结果的，或者竞得人放弃竞得宗地的，应当承担相应法律责任。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（六）竞得人缴纳的竞买保证金，网上挂牌成交后，竞得人应到我中心办理保证金转付地价款手续(保证金中按成交价款的10%转作受让地块的定金）。未竞得人缴交的竞买保证金，在网上挂牌活动结束后 5 个工作日内，带齐相关资料（《保证金到帐通知书》及进账单等）到本中心退还保证金，不计利息。</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以外币缴纳土地竞买保证金的，成交确认后，我中心将在竞得人支付的外币保证金中扣留成交价款的10%（按成交当日汇率结汇）作为受让地块的定金，其余部分原路返回给竞得人，待竞得人按时缴清地价款后，再将定金退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保证金少于成交价10%的，不足部分由竞得人在签订《成交确认书》之日起5个工作日内付清。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（八）竞得人签订《国有建设用地使用权网上挂牌成交确认书》后，竞买保证金抵作土地出让价款，成交价款余款按《出让合同》的约定支付。《成交确认书》签订之日起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九）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5、司法机关要求暂停、中止或终止网上挂牌交易活动的。</w:t>
      </w:r>
    </w:p>
    <w:p>
      <w:pPr>
        <w:spacing w:line="560" w:lineRule="exact"/>
        <w:rPr>
          <w:rFonts w:ascii="仿宋_GB2312" w:eastAsia="仿宋_GB231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6、市自然资源管理部门或交易中心认为应当暂停、中止或终止网上挂牌交易活动的其他情形。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（十一）网上挂牌成交价即为该幅地块的总地价款，竞得人除支付成交价款外，还需支付契税、印花税等有关费用。</w:t>
      </w:r>
    </w:p>
    <w:p>
      <w:pPr>
        <w:spacing w:line="560" w:lineRule="exact"/>
        <w:ind w:firstLine="640" w:firstLineChars="200"/>
        <w:rPr>
          <w:rFonts w:ascii="仿宋_GB2312" w:eastAsia="仿宋_GB2312"/>
        </w:rPr>
      </w:pPr>
      <w:r>
        <w:rPr>
          <w:rFonts w:hint="eastAsia" w:ascii="仿宋_GB2312" w:eastAsia="仿宋_GB2312"/>
          <w:sz w:val="32"/>
          <w:szCs w:val="32"/>
        </w:rPr>
        <w:t>（十二）该宗地使用网上挂牌方式出让，交易全程适用《惠州市国有建设用地使用权和矿业权电子挂牌交易规则》（惠府〔2014〕167号）</w:t>
      </w:r>
      <w:r>
        <w:rPr>
          <w:rFonts w:hint="eastAsia" w:ascii="仿宋_GB2312" w:hAnsi="仿宋_GB2312" w:eastAsia="仿宋_GB2312"/>
          <w:sz w:val="32"/>
          <w:szCs w:val="24"/>
        </w:rPr>
        <w:t>。</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（十三）竞得人与出让人签订《出让合同》后，应当按出让合同约定支付网上挂牌成交价款。竞得人付清全部网上挂牌成交价款后，依法申请办理土地登记，领取《不动产权证书》。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（十四）网上挂牌不成交的，应当按规定由委托方和本中心重新组织出让。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（十五）本中心认为需要对网上挂牌出让须知、公告及相关交易文件作出修改、补充时，将通过原公告发布渠道公告，不作另行通知。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（十六）本须知及公告涉及的时间期限，以惠州市公共资源交易中心土地与矿业网上挂牌交易系统服务器的时间为准。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（十七）竞买人在本次网上挂牌交易过程中与惠州市公共资源交易中心发生任何争议，由双方协商。协商不成的可依法提交惠州市仲裁机构仲裁解决。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（十八）本中心对本《须知》有解释权。未尽事宜依照《招标拍卖挂牌出让国有土地使用权规范》办理。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tabs>
          <w:tab w:val="left" w:pos="3388"/>
        </w:tabs>
        <w:ind w:firstLine="4640" w:firstLineChars="1450"/>
        <w:jc w:val="left"/>
        <w:rPr>
          <w:rFonts w:ascii="仿宋_GB2312" w:hAnsi="仿宋_GB2312" w:eastAsia="仿宋_GB2312" w:cs="仿宋_GB2312"/>
          <w:sz w:val="32"/>
          <w:szCs w:val="32"/>
        </w:rPr>
      </w:pPr>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bookmarkStart w:id="8" w:name="_GoBack"/>
      <w:bookmarkEnd w:id="8"/>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3"/>
        </w:pPr>
        <w:r>
          <w:fldChar w:fldCharType="begin"/>
        </w:r>
        <w:r>
          <w:instrText xml:space="preserve"> PAGE   \* MERGEFORMAT </w:instrText>
        </w:r>
        <w:r>
          <w:fldChar w:fldCharType="separate"/>
        </w:r>
        <w:r>
          <w:rPr>
            <w:lang w:val="zh-CN"/>
          </w:rPr>
          <w:t>-</w:t>
        </w:r>
        <w:r>
          <w:t xml:space="preserve"> 17 -</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54F511E"/>
    <w:rsid w:val="00006A7B"/>
    <w:rsid w:val="00013E7E"/>
    <w:rsid w:val="000721C6"/>
    <w:rsid w:val="000837BB"/>
    <w:rsid w:val="000A092B"/>
    <w:rsid w:val="000A5504"/>
    <w:rsid w:val="000D0D10"/>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2830E8F"/>
    <w:rsid w:val="030F1806"/>
    <w:rsid w:val="04AD7D35"/>
    <w:rsid w:val="054F511E"/>
    <w:rsid w:val="07BD19CE"/>
    <w:rsid w:val="0CD05DB7"/>
    <w:rsid w:val="0F830A62"/>
    <w:rsid w:val="0FC62DE2"/>
    <w:rsid w:val="109A02CD"/>
    <w:rsid w:val="114A1759"/>
    <w:rsid w:val="124E6E97"/>
    <w:rsid w:val="16283DCA"/>
    <w:rsid w:val="174A0854"/>
    <w:rsid w:val="18E65A07"/>
    <w:rsid w:val="19D3338D"/>
    <w:rsid w:val="1C387F88"/>
    <w:rsid w:val="1C552ED6"/>
    <w:rsid w:val="1D082B40"/>
    <w:rsid w:val="1E192718"/>
    <w:rsid w:val="1E6A5D50"/>
    <w:rsid w:val="1FAB74B3"/>
    <w:rsid w:val="20061FAD"/>
    <w:rsid w:val="24FB650C"/>
    <w:rsid w:val="26067B89"/>
    <w:rsid w:val="2608519C"/>
    <w:rsid w:val="267D0353"/>
    <w:rsid w:val="296C67A2"/>
    <w:rsid w:val="2A8A6543"/>
    <w:rsid w:val="2B1F080F"/>
    <w:rsid w:val="2B1F451B"/>
    <w:rsid w:val="2B9F5586"/>
    <w:rsid w:val="2BAF1540"/>
    <w:rsid w:val="2D6206D4"/>
    <w:rsid w:val="2E441035"/>
    <w:rsid w:val="30853164"/>
    <w:rsid w:val="322A1DC6"/>
    <w:rsid w:val="34405344"/>
    <w:rsid w:val="351709CA"/>
    <w:rsid w:val="35F81310"/>
    <w:rsid w:val="385771C0"/>
    <w:rsid w:val="38AB40F2"/>
    <w:rsid w:val="39F76430"/>
    <w:rsid w:val="3AAC2138"/>
    <w:rsid w:val="3BE56A3C"/>
    <w:rsid w:val="3D6D59E8"/>
    <w:rsid w:val="3DBA5BC3"/>
    <w:rsid w:val="3E3E281B"/>
    <w:rsid w:val="3E546F3E"/>
    <w:rsid w:val="3E5F4D8D"/>
    <w:rsid w:val="41A12A91"/>
    <w:rsid w:val="426E3FC4"/>
    <w:rsid w:val="43185547"/>
    <w:rsid w:val="460036EA"/>
    <w:rsid w:val="4632212B"/>
    <w:rsid w:val="488B5055"/>
    <w:rsid w:val="49EB09D0"/>
    <w:rsid w:val="4A791F5D"/>
    <w:rsid w:val="4BB72777"/>
    <w:rsid w:val="4E1B3647"/>
    <w:rsid w:val="51F83D16"/>
    <w:rsid w:val="52794A23"/>
    <w:rsid w:val="550A1D05"/>
    <w:rsid w:val="557A637A"/>
    <w:rsid w:val="575C2D03"/>
    <w:rsid w:val="5A233067"/>
    <w:rsid w:val="5C2303AF"/>
    <w:rsid w:val="5C4C3ACF"/>
    <w:rsid w:val="5C731101"/>
    <w:rsid w:val="5F866FCC"/>
    <w:rsid w:val="62856A44"/>
    <w:rsid w:val="64DD162F"/>
    <w:rsid w:val="65816E58"/>
    <w:rsid w:val="65E21D43"/>
    <w:rsid w:val="661C1CD7"/>
    <w:rsid w:val="67576BA1"/>
    <w:rsid w:val="68C033F6"/>
    <w:rsid w:val="68FB76FE"/>
    <w:rsid w:val="69CC62F3"/>
    <w:rsid w:val="6B405C37"/>
    <w:rsid w:val="6B6028FB"/>
    <w:rsid w:val="6CAD7062"/>
    <w:rsid w:val="6D6134E2"/>
    <w:rsid w:val="70E3266E"/>
    <w:rsid w:val="71007E48"/>
    <w:rsid w:val="71772A86"/>
    <w:rsid w:val="761D17FA"/>
    <w:rsid w:val="76553B22"/>
    <w:rsid w:val="79EA38E7"/>
    <w:rsid w:val="7E3C774C"/>
    <w:rsid w:val="7FA445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0"/>
    <w:rPr>
      <w:rFonts w:ascii="Calibri" w:hAnsi="Calibri"/>
      <w:kern w:val="2"/>
      <w:sz w:val="18"/>
      <w:szCs w:val="18"/>
    </w:rPr>
  </w:style>
  <w:style w:type="character" w:customStyle="1" w:styleId="8">
    <w:name w:val="页脚 Char"/>
    <w:basedOn w:val="5"/>
    <w:link w:val="3"/>
    <w:qFormat/>
    <w:uiPriority w:val="99"/>
    <w:rPr>
      <w:rFonts w:ascii="Calibri" w:hAnsi="Calibri"/>
      <w:kern w:val="2"/>
      <w:sz w:val="18"/>
      <w:szCs w:val="22"/>
    </w:rPr>
  </w:style>
  <w:style w:type="character" w:customStyle="1" w:styleId="9">
    <w:name w:val="正文文本缩进 Char"/>
    <w:basedOn w:val="5"/>
    <w:link w:val="2"/>
    <w:qFormat/>
    <w:uiPriority w:val="0"/>
    <w:rPr>
      <w:rFonts w:ascii="仿宋_GB2312" w:hAnsi="华文中宋" w:eastAsia="仿宋_GB231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2</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黄春枚</cp:lastModifiedBy>
  <cp:lastPrinted>2020-04-30T08:52:00Z</cp:lastPrinted>
  <dcterms:modified xsi:type="dcterms:W3CDTF">2020-09-30T03:17:52Z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