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惠州市国有建设用地使用权网上</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挂牌出让须知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招标拍卖挂牌出让国有建设用地使用权规定》以及《招标拍卖挂牌出让国有土地使用权规范》等有关规定，经惠州市人民政府批准，受惠州市惠城区自然资源局委托，本中心以网上挂牌交易方式出让下列国有建设用地使用权。</w:t>
      </w:r>
      <w:bookmarkStart w:id="0" w:name="99"/>
      <w:bookmarkEnd w:id="0"/>
    </w:p>
    <w:p>
      <w:pPr>
        <w:ind w:firstLine="643" w:firstLineChars="200"/>
      </w:pPr>
      <w:r>
        <w:rPr>
          <w:rFonts w:hint="eastAsia" w:ascii="仿宋_GB2312" w:hAnsi="仿宋_GB2312" w:eastAsia="仿宋_GB2312" w:cs="仿宋_GB2312"/>
          <w:b/>
          <w:bCs/>
          <w:sz w:val="32"/>
          <w:szCs w:val="32"/>
        </w:rPr>
        <w:t>一、本次国有建设用地使用权网上挂牌出让的出让人为惠州市惠城区自然资源局，具体组织实施由惠州市公共资源交易中心承办。</w:t>
      </w:r>
      <w:bookmarkStart w:id="1" w:name="100"/>
      <w:bookmarkEnd w:id="1"/>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（二）地块位置：</w:t>
      </w:r>
      <w:r>
        <w:rPr>
          <w:rFonts w:hint="eastAsia" w:ascii="仿宋_GB2312" w:hAnsi="仿宋_GB2312" w:eastAsia="仿宋_GB2312" w:cs="仿宋_GB2312"/>
          <w:sz w:val="32"/>
          <w:szCs w:val="32"/>
          <w:lang w:val="en-US" w:eastAsia="zh-CN"/>
        </w:rPr>
        <w:t>惠州市惠城区马安工业集中发展区（北）；</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（三）规划编号</w:t>
      </w:r>
      <w:r>
        <w:rPr>
          <w:rFonts w:hint="eastAsia" w:ascii="仿宋_GB2312" w:hAnsi="仿宋_GB2312" w:eastAsia="仿宋_GB2312" w:cs="仿宋_GB2312"/>
          <w:sz w:val="32"/>
          <w:szCs w:val="32"/>
          <w:lang w:val="en-US" w:eastAsia="zh-CN"/>
        </w:rPr>
        <w:t>：MABY-01-27-01；</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（四）地块范围：平面界址点以宗地图为准，宗地竖向界限以《</w:t>
      </w:r>
      <w:r>
        <w:rPr>
          <w:rFonts w:hint="eastAsia" w:ascii="仿宋_GB2312" w:hAnsi="仿宋_GB2312" w:eastAsia="仿宋_GB2312" w:cs="仿宋_GB2312"/>
          <w:sz w:val="32"/>
          <w:szCs w:val="32"/>
          <w:lang w:val="en-US" w:eastAsia="zh-CN"/>
        </w:rPr>
        <w:t>规划条件告知书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val="en-US" w:eastAsia="zh-CN"/>
        </w:rPr>
        <w:t>HCPB20200009</w:t>
      </w:r>
      <w:r>
        <w:rPr>
          <w:rFonts w:hint="eastAsia" w:ascii="仿宋_GB2312" w:hAnsi="仿宋_GB2312" w:eastAsia="仿宋_GB2312" w:cs="仿宋_GB2312"/>
          <w:sz w:val="32"/>
          <w:szCs w:val="32"/>
        </w:rPr>
        <w:t>）规定为准；</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（五）宗地使用权面积为：</w:t>
      </w:r>
      <w:r>
        <w:rPr>
          <w:rFonts w:hint="eastAsia" w:ascii="仿宋_GB2312" w:hAnsi="仿宋_GB2312" w:eastAsia="仿宋_GB2312" w:cs="仿宋_GB2312"/>
          <w:sz w:val="32"/>
          <w:szCs w:val="32"/>
          <w:lang w:val="en-US" w:eastAsia="zh-CN"/>
        </w:rPr>
        <w:t>20269.14平方米；</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（六）计算指标用地面积为：</w:t>
      </w:r>
      <w:r>
        <w:rPr>
          <w:rFonts w:hint="eastAsia" w:ascii="仿宋_GB2312" w:hAnsi="仿宋_GB2312" w:eastAsia="仿宋_GB2312" w:cs="仿宋_GB2312"/>
          <w:sz w:val="32"/>
          <w:szCs w:val="32"/>
          <w:lang w:val="en-US" w:eastAsia="zh-CN"/>
        </w:rPr>
        <w:t>22431平方米；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（七）计容积率建筑面积为：</w:t>
      </w:r>
      <w:r>
        <w:rPr>
          <w:rFonts w:hint="eastAsia" w:ascii="仿宋_GB2312" w:hAnsi="仿宋_GB2312" w:eastAsia="仿宋_GB2312" w:cs="仿宋_GB2312"/>
          <w:sz w:val="32"/>
          <w:szCs w:val="32"/>
          <w:lang w:val="en-US" w:eastAsia="zh-CN"/>
        </w:rPr>
        <w:t>40376≤R≤78508平方米；</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（八）土地用途为：</w:t>
      </w:r>
      <w:r>
        <w:rPr>
          <w:rFonts w:hint="eastAsia" w:ascii="仿宋_GB2312" w:hAnsi="仿宋_GB2312" w:eastAsia="仿宋_GB2312" w:cs="仿宋_GB2312"/>
          <w:sz w:val="32"/>
          <w:szCs w:val="32"/>
          <w:lang w:eastAsia="zh-CN"/>
        </w:rPr>
        <w:t>一类工业用地</w:t>
      </w:r>
      <w:r>
        <w:rPr>
          <w:rFonts w:hint="eastAsia" w:ascii="仿宋_GB2312" w:hAnsi="仿宋_GB2312" w:eastAsia="仿宋_GB2312" w:cs="仿宋_GB2312"/>
          <w:sz w:val="32"/>
          <w:szCs w:val="32"/>
        </w:rPr>
        <w:t>；</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（九）土地使用权出让年期为：工业用地50年；</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（十）容积率</w:t>
      </w:r>
      <w:r>
        <w:rPr>
          <w:rFonts w:hint="eastAsia" w:ascii="仿宋_GB2312" w:hAnsi="仿宋_GB2312" w:eastAsia="仿宋_GB2312" w:cs="仿宋_GB2312"/>
          <w:sz w:val="32"/>
          <w:szCs w:val="32"/>
          <w:lang w:val="en-US" w:eastAsia="zh-CN"/>
        </w:rPr>
        <w:t>为：1.8≤R≤3.5；</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（十一）绿地率为:</w:t>
      </w:r>
      <w:r>
        <w:rPr>
          <w:rFonts w:hint="eastAsia" w:ascii="仿宋_GB2312" w:hAnsi="仿宋_GB2312" w:eastAsia="仿宋_GB2312" w:cs="仿宋_GB2312"/>
          <w:sz w:val="32"/>
          <w:szCs w:val="32"/>
          <w:lang w:val="en-US" w:eastAsia="zh-CN"/>
        </w:rPr>
        <w:t xml:space="preserve"> 15%≤R≤20%;</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（十二）建筑密度为</w:t>
      </w:r>
      <w:r>
        <w:rPr>
          <w:rFonts w:hint="eastAsia" w:ascii="仿宋_GB2312" w:hAnsi="仿宋_GB2312" w:eastAsia="仿宋_GB2312" w:cs="仿宋_GB2312"/>
          <w:sz w:val="32"/>
          <w:szCs w:val="32"/>
          <w:lang w:val="en-US" w:eastAsia="zh-CN"/>
        </w:rPr>
        <w:t>: ≥35%;</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）机动车停车位配建标准</w:t>
      </w:r>
      <w:r>
        <w:rPr>
          <w:rFonts w:hint="eastAsia" w:ascii="仿宋_GB2312" w:hAnsi="仿宋_GB2312" w:eastAsia="仿宋_GB2312" w:cs="仿宋_GB2312"/>
          <w:sz w:val="32"/>
          <w:szCs w:val="32"/>
          <w:lang w:val="en-US" w:eastAsia="zh-CN"/>
        </w:rPr>
        <w:t>：每100平方米计容积率面积≥1个；</w:t>
      </w: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）产业类</w:t>
      </w:r>
      <w:r>
        <w:rPr>
          <w:rFonts w:hint="eastAsia" w:ascii="仿宋_GB2312" w:hAnsi="仿宋_GB2312" w:eastAsia="仿宋_GB2312" w:cs="仿宋_GB2312"/>
          <w:sz w:val="32"/>
          <w:szCs w:val="32"/>
          <w:lang w:val="en-US" w:eastAsia="zh-CN"/>
        </w:rPr>
        <w:t>型：电气机械及器材制造业用地；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）动工及竣工时间：该地块的动工时间为地块交付之日起一年内，竣工时间为动工之日起三年内（因不可抗拒因素除外）；</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）土地交付使用时间为《国有建设用地使用权出让合同》签订之日。</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2.7亿</w:t>
      </w:r>
      <w:r>
        <w:rPr>
          <w:rFonts w:hint="eastAsia" w:ascii="仿宋_GB2312" w:hAnsi="仿宋_GB2312" w:eastAsia="仿宋_GB2312" w:cs="仿宋_GB2312"/>
          <w:sz w:val="32"/>
          <w:szCs w:val="32"/>
        </w:rPr>
        <w:t>元（含地价）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）该地权利清晰，安置补偿落实到位，没有法律经济纠纷，具备动工开发所必须的基本条件。</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）竞得人在用地红线内开发建设必须符合城市规划要求，必须按</w:t>
      </w:r>
      <w:r>
        <w:rPr>
          <w:rFonts w:hint="eastAsia" w:hAnsi="仿宋_GB2312" w:cs="仿宋_GB2312"/>
          <w:szCs w:val="32"/>
          <w:lang w:eastAsia="zh-CN"/>
        </w:rPr>
        <w:t>上述建设方案的要求</w:t>
      </w:r>
      <w:r>
        <w:rPr>
          <w:rFonts w:hint="eastAsia" w:hAnsi="仿宋_GB2312" w:cs="仿宋_GB2312"/>
          <w:szCs w:val="32"/>
        </w:rPr>
        <w:t>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hAnsi="仿宋_GB2312" w:cs="仿宋_GB231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报总平面图的主要技术经济指标：规划布局7栋栋厂房1栋宿舍1间门卫室，计算指标用地面积22431平方米，计容积率建筑面积49601.45平方米（其中宿舍建筑面积2247.36平方米，占比4.5%），容积率2.2，总基底面积10278.1平方米（宿舍基底面积367平方米，占用地面积比1.6%），建筑密度45.8%，停车位100个，绿地率15%。各项指标满足《建设用地规划设计条件》（HCPB20200009)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所报方案符合《建设用地规划设计条件》（案卷编号：HCPB20200009号）相关技术经济指标要求，同意所报总平面图和单体建筑设计方案，须按程序进行公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2、建设项目平面布置图详见附件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投资强度不低于</w:t>
      </w:r>
      <w:r>
        <w:rPr>
          <w:rFonts w:hint="eastAsia" w:ascii="仿宋_GB2312" w:hAnsi="仿宋_GB2312" w:eastAsia="仿宋_GB2312" w:cs="仿宋_GB2312"/>
          <w:sz w:val="32"/>
          <w:szCs w:val="32"/>
          <w:lang w:val="en-US" w:eastAsia="zh-CN"/>
        </w:rPr>
        <w:t>11363元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，土地产出率（营业收入）不低于</w:t>
      </w:r>
      <w:r>
        <w:rPr>
          <w:rFonts w:hint="eastAsia" w:ascii="仿宋_GB2312" w:hAnsi="仿宋_GB2312" w:eastAsia="仿宋_GB2312" w:cs="仿宋_GB2312"/>
          <w:sz w:val="32"/>
          <w:szCs w:val="32"/>
          <w:lang w:val="en-US" w:eastAsia="zh-CN"/>
        </w:rPr>
        <w:t>45454</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/年，税收产出不低于</w:t>
      </w:r>
      <w:r>
        <w:rPr>
          <w:rFonts w:hint="eastAsia" w:ascii="仿宋_GB2312" w:hAnsi="仿宋_GB2312" w:eastAsia="仿宋_GB2312" w:cs="仿宋_GB2312"/>
          <w:sz w:val="32"/>
          <w:szCs w:val="32"/>
          <w:lang w:val="en-US" w:eastAsia="zh-CN"/>
        </w:rPr>
        <w:t>2045</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/年。其中，土地产出率及税收产出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在项目投产后3年内逐年考核，3年内的平均值不得低于上述标准。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在签订《国有建设用地交地确认书》5年内不得转让土地使用权（包含但不限于公司股权转让），非因企业破产不得终止项目建设及运营。若因企业经营不善等原因，乙方确定</w:t>
      </w:r>
      <w:r>
        <w:rPr>
          <w:rFonts w:hint="eastAsia" w:ascii="仿宋_GB2312" w:hAnsi="仿宋_GB2312" w:eastAsia="仿宋_GB2312" w:cs="仿宋_GB2312"/>
          <w:sz w:val="32"/>
          <w:szCs w:val="32"/>
        </w:rPr>
        <w:t>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）竞得人在签订《成交确认书》前，须与惠城区高新科技产业园管委会签订《惠城区工业项目土地建设和使用监管协议书》，并由惠城区高新科技产业园管委会对项目用地实施批后监管。</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五、竞买资格及要求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中华人民共和国境内外的法人和其他组织（除法律法规另有规定外），均可申请参加竞买。申请人可以单独申请，也可以联合申请。申请人还应具备下列条件：</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按时，足额交纳竞买保证金。该宗地竞买保证金为666万元民币。</w:t>
      </w:r>
    </w:p>
    <w:p>
      <w:pPr>
        <w:numPr>
          <w:ilvl w:val="0"/>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（四）申请人及其控股股东存在下列行为之一的，不得参与上述地块竞买活动：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7、存在其它被禁止竞买土地行为的。</w:t>
      </w:r>
    </w:p>
    <w:p>
      <w:pPr>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六、违约及处理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竞得人缴交的保证金中按成交价的20%转作定金.竞得人有下列行为之一的，视为违约，取消竞得人资格，定金不予退还,并由有关部门依法处理;造成损失的，竞得人还应依法承担赔偿责任：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（一）不符合竞买资格条件的。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（二）采取行贿、恶意串通等非法手段竞得的。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（三）竞得人以其他非法手段竞得的。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（四）竞得人逾期或拒绝签订《成交确认书》的。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（五）竞得人逾期或拒绝签订《出让合同》的。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（六）不按本须知规定提供有关纸质文件材料，或提供虚假文件材料、隐瞒重要事实，引起交易纠纷的。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（七）构成违约责任的其他行为。</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贰仟贰佰贰拾万元整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2220</w:t>
      </w:r>
      <w:r>
        <w:rPr>
          <w:rFonts w:hint="eastAsia" w:ascii="仿宋_GB2312" w:hAnsi="仿宋_GB2312" w:eastAsia="仿宋_GB2312" w:cs="仿宋_GB2312"/>
          <w:sz w:val="32"/>
          <w:szCs w:val="32"/>
        </w:rPr>
        <w:t>万元）（土地单价</w:t>
      </w:r>
      <w:r>
        <w:rPr>
          <w:rFonts w:hint="eastAsia" w:ascii="仿宋_GB2312" w:hAnsi="仿宋_GB2312" w:eastAsia="仿宋_GB2312" w:cs="仿宋_GB2312"/>
          <w:sz w:val="32"/>
          <w:szCs w:val="32"/>
          <w:u w:val="single"/>
          <w:lang w:val="en-US" w:eastAsia="zh-CN"/>
        </w:rPr>
        <w:t>1095</w:t>
      </w:r>
      <w:r>
        <w:rPr>
          <w:rFonts w:hint="eastAsia" w:ascii="仿宋_GB2312" w:hAnsi="仿宋_GB2312" w:eastAsia="仿宋_GB2312" w:cs="仿宋_GB2312"/>
          <w:sz w:val="32"/>
          <w:szCs w:val="32"/>
        </w:rPr>
        <w:t>元/平方米）,增价幅度为人民币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八、本次网上挂牌出让活动有关时间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网上挂牌时间为10个工作日，不包括法定节假日。具体如下：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（一）网上挂牌起始时间：2020年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（二）网上挂牌截止时间：2020年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日10时。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（三）网上挂牌交纳保证金截止时间：2020年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（四）网上挂牌报价时间：网上挂牌起止时间内。</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1、《惠州市国有建设用地使用权和矿业权电子挂牌交易规则》；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2、《惠州市国有建设用地使用权网上挂牌交易操作说明》；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3、网上挂牌出让公告；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4、挂牌出让地块现状图；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5、惠州市国有建设用地使用权网上挂牌出让须知；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6、竞买申请书（样本）；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7、惠州市公共资源交易中心土地与矿业网上挂牌交易成交通知书（样本）；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8、《国有建设用地使用权出让合同》（以下简称“出让合同”）样本；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10、附件。</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十二、竞买保证金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ind w:left="17" w:leftChars="8" w:firstLine="617" w:firstLineChars="193"/>
        <w:rPr>
          <w:rFonts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时整，竞买保证金为</w:t>
      </w:r>
      <w:bookmarkStart w:id="3" w:name="_GoBack"/>
      <w:bookmarkEnd w:id="3"/>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666</w:t>
      </w:r>
      <w:r>
        <w:rPr>
          <w:rFonts w:hint="eastAsia" w:ascii="仿宋_GB2312" w:hAnsi="仿宋_GB2312" w:eastAsia="仿宋_GB2312" w:cs="仿宋_GB2312"/>
          <w:sz w:val="32"/>
          <w:szCs w:val="32"/>
        </w:rPr>
        <w:t>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（四）跨地区或跨行转账的竞买人，需预足资金的在途时间，以免影响竞买人及时取得竞买资格。</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（五）竞买保证金到账时间以网上挂牌交易系统颁发《保证金到账通知书》为准。</w:t>
      </w:r>
    </w:p>
    <w:p>
      <w:pPr>
        <w:ind w:left="0" w:leftChars="0" w:firstLine="537" w:firstLineChars="16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（六）竞买保证金开户单位：惠州市公共资源交易中</w:t>
      </w:r>
      <w:r>
        <w:rPr>
          <w:rFonts w:hint="eastAsia" w:ascii="仿宋_GB2312" w:hAnsi="仿宋_GB2312" w:eastAsia="仿宋_GB2312" w:cs="仿宋_GB2312"/>
          <w:sz w:val="32"/>
          <w:szCs w:val="32"/>
          <w:lang w:val="en-US" w:eastAsia="zh-CN"/>
        </w:rPr>
        <w:t>心</w:t>
      </w:r>
    </w:p>
    <w:p>
      <w:pPr>
        <w:ind w:left="0" w:leftChars="0" w:firstLine="537" w:firstLineChars="16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（七）开户银行：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1、中国建设银行惠州广场支行。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3、中国工商银行股份有限公司惠州富力国际中心支行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5、中信银行股份有限公司惠州分行。(备注:中信银行股份有限公司惠州分行本行转帐须到银行柜面办理)。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6、惠州市农村商业银行股份有限公司惠城支行。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7、交通银行惠州分行。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中国光大银行股份有限公司惠州分行。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（八）保证金账号：网上挂牌交易系统随机产生子账号。</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十三、网上报价规则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（一）本次网上挂牌以增价方式进行报价，每次加价幅度为本须知规定增价幅度的整数倍。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（二）竞买人的首次报价不低于起始价，此后的竞买人报价须高于报价当时的最新网上挂牌价格，并以增价幅度的整数倍加价。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（三）竞买人通过网上挂牌交易提交的报价一经报出，不得撤回。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（五）在报价期内，竞买人必须进行一次有效报价，才能参加网上限时竞价。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（六）竞买人报价有下列情形之一的，为无效报价：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1、报价未在网上挂牌期限内收到的。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2、报价因竞买人网络故障未在网上挂牌报价期限内收到的。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3、报价不符合报价规则的。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4、报价低于网上挂牌起始价的。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十四、系统操作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本中心网上挂牌交易系统</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十五、网上挂牌程序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（一）公布网上挂牌信息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（二）申请竞买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（三）交纳保证金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1、网上挂牌交易从网上挂牌起始时间起开始接受报价。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2、办理好数字证书、按时足额交付竞买保证金并经网上挂牌交易系统确认的竞买人通过网上挂牌交易系统进行报价。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3、网上挂牌交易系统对符合规定的报价予以确认，并更新显示当前报价。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4、网上挂牌交易系统继续接受新的报价。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5、网上挂牌报价规则见《须知》第十三条。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网上挂牌截止由网上挂牌交易系统自动确定。在公告规定的网上挂牌截止时间，网上挂牌交易系统将显示最高报价，并询问竞买人是否愿意继续竞价（限时竞价）。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1、网上挂牌交易系统将在网上挂牌截止时间自动确定网上挂牌截止。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2、网上挂牌交易系统显示最高报价，并询问竞买人是否愿意继续竞价。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4、有竞买人表示愿意继续竞价的，网上挂牌交易系统自动进入网上限时竞价程序。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5、经网上挂牌交易系统询问完毕后，没有竞买人表示愿意继续竞价的，网上挂牌交易系统按下列规定确定网上挂牌结果：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（1）最高报价高于或等于起始价的，网上挂牌交易系统显示网上挂牌成交，最高报价的出价人为竞得人。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（2）无人应价的，网上挂牌交易显示网上挂牌不成交。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2、5分钟限时竞价内没有新的报价，网上挂牌交易系统将自动关闭报价通道，当前最高报价为最终报价，网上挂牌交易系统确认最高报价者为竞得人。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3、在网上限时竞价中无人报价的，以网上挂牌截止时出价最高者为竞得人，但低于网上挂牌交易底价者除外。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1、网上挂牌交易结束后，竞得人应当自行下载打印《竞买申请书》、《竞价结果通知书》并盖章。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2、竞得人应当在网上挂牌交易结果公布之日起5个工作日内持下列有关纸质材料到本中心进行资格审查并签订《成交确认书》：</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（4）转帐凭证复印件（加盖公章）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（5）申请竞买人有效的《营业执照》副本及《组织机构代码证》副本复印件（加盖公章）（二份）。</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pStyle w:val="2"/>
        <w:ind w:left="0" w:leftChars="0" w:firstLine="0" w:firstLineChars="0"/>
        <w:rPr>
          <w:rFonts w:hint="eastAsia" w:eastAsia="仿宋_GB231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）《惠城区工业项目土地建设和使用监管协议书》</w:t>
      </w:r>
      <w:r>
        <w:rPr>
          <w:rFonts w:hint="eastAsia" w:ascii="仿宋_GB2312" w:hAnsi="仿宋_GB2312" w:eastAsia="仿宋_GB2312" w:cs="仿宋_GB2312"/>
          <w:sz w:val="32"/>
          <w:szCs w:val="32"/>
          <w:lang w:eastAsia="zh-CN"/>
        </w:rPr>
        <w:t>。</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）竞买人须提交惠城区发改局（或惠州市发改局）出具的与该宗地块规划确定的产业类型一致的优先发展产业项目文件。</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联合竞买协议（联合竞买的提供）。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竞买人如需保存上述竞买报名资料应自留备份，本中心不予退还。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上述文件中，申请书必须用中文书写，其他文件可以使用其它语言，但必须附中文译本，所有文件的解释以中文译本为准。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（八）网上挂牌出让结果公示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十六、注意事项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土地网上挂牌实行资格后审，不能通过资格审查的竞得人无效，不予签订《惠州市国有建设用地使用权电子挂牌交易成交确认书》（以下简称《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（五）确定竞得人后，竞得人持《惠州市公共资源交易中心网上挂牌竞价结果通知书》以及参加本宗地网上挂牌交易的所须资料到惠州市公共资源交易中心土地矿业交易部申办相关成交确认手续。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《惠州市公共资源交易中心网上挂牌竞价结果通知书》对挂牌人和竞得人具有法律效力，挂牌人改变网上挂牌结果的，或者竞得人放弃竞得宗地的，应当承担相应法律责任。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得人缴纳的竞买保证金，网上挂牌成交后，竞得人应到我中心办理保证金转付地价款手续(保证金中按成交价款的20%转作受让地块的定金）。未竞得人缴交的竞买保证金，在网上挂牌活动结束后5个工作日内，带齐相关资料（《保证金到帐通知书》及进账单等）到本中心退还保证金，不计利息。</w:t>
      </w:r>
    </w:p>
    <w:p>
      <w:pPr>
        <w:ind w:firstLine="640" w:firstLineChars="200"/>
        <w:rPr>
          <w:rFonts w:ascii="Calibri" w:eastAsia="宋体"/>
          <w:kern w:val="0"/>
          <w:sz w:val="24"/>
        </w:rPr>
      </w:pPr>
      <w:r>
        <w:rPr>
          <w:rFonts w:hint="eastAsia" w:ascii="仿宋_GB2312" w:eastAsia="仿宋_GB2312"/>
          <w:sz w:val="32"/>
          <w:szCs w:val="32"/>
        </w:rPr>
        <w:t>保证金少于成交价20%的，不足部分由竞得人在签订《成交确认书》之日起5个工作日内付清。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竞得人签订《国有建设用地使用权网上挂牌成交确认书》后，竞买保证金抵作土地出让价款，成交价款余款在签订《出让合同》之日起30日内一次性付清，逾期未缴纳的，按合同有关规定处理。《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为避免网络延迟问题，竞买人首次出价应在网上挂牌截止前10分钟出价，以防止网上挂牌交易无法及时接收到报价的情况发生。5分钟倒计时竞价期间，请不要在最后时段报价，以防网络延时造成报价提交不成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（九）有下列情形之一的，本中心将暂停、中止或终止网上挂牌交易活动：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1、网上挂牌交易系统受到网络恶意入侵的。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2、因网上挂牌交易系统遭受破坏或发生电力、网络故障等不可抗力因素，导致网上挂牌交易系统不能正常运行的。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3、网上挂牌交易委托人根据有关规定要求暂停、中止或终止网上挂牌交易活动的。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4、涉及土地或矿业权纠纷，不能及时解决的。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5、司法机关要求暂停、中止或终止网上挂牌交易活动的。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6、市自然资源管理部门认为应当暂停、中止或终止网上挂牌交易活动的其他情形。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（十）网上挂牌成交价即为该幅地块的总地价款，竞得人除支付成交价款外，还需支付契税、印花税等有关费用。</w:t>
      </w:r>
    </w:p>
    <w:p>
      <w:pPr>
        <w:ind w:firstLine="640" w:firstLineChars="200"/>
      </w:pPr>
      <w:r>
        <w:rPr>
          <w:rFonts w:hint="eastAsia" w:ascii="仿宋_GB2312" w:hAnsi="仿宋_GB2312" w:eastAsia="仿宋_GB2312" w:cs="仿宋_GB2312"/>
          <w:sz w:val="32"/>
          <w:szCs w:val="32"/>
        </w:rPr>
        <w:t>（十一）该宗地使用网上挂牌方式出让，</w:t>
      </w:r>
      <w:r>
        <w:rPr>
          <w:rFonts w:hint="eastAsia" w:ascii="仿宋_GB2312" w:eastAsia="仿宋_GB2312"/>
          <w:sz w:val="32"/>
          <w:szCs w:val="32"/>
        </w:rPr>
        <w:t>交易全程适用《惠州市国有建设用地使用权和矿业权电子挂牌交易规则》</w:t>
      </w:r>
      <w:r>
        <w:rPr>
          <w:rFonts w:hint="eastAsia" w:ascii="仿宋_GB2312" w:hAnsi="仿宋_GB2312" w:eastAsia="仿宋_GB2312" w:cs="仿宋_GB2312"/>
          <w:sz w:val="32"/>
          <w:szCs w:val="32"/>
        </w:rPr>
        <w:t>（惠府〔2014〕167号）。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（十二）竞得人与出让人签订《出让合同》后，应当按出让合同约定支付网上挂牌成交价款。竞得人付清全部网上挂牌成交价款后，依法申请办理土地登记，领取《不动产权证书》。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（十三）网上挂牌不成交的，应当按规定由委托方和本中心重新组织出让。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（十四）本中心认为需要对网上挂牌出让须知、公告及相关交易文件作出修改、补充时，将通过原公告发布渠道公告，不作另行通知。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（十五）本须知及公告涉及的时间期限，以惠州市公共资源交易中心土地与矿业网上挂牌交易系统服务器的时间为准。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（十六）竞买人在本次网上挂牌交易过程中与惠州市公共资源交易中心发生任何争议，由双方协商。协商不成的可依法提交惠州市仲裁机构仲裁解决。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（十七）本中心对本《须知》有解释权。未尽事宜依照《招标拍卖挂牌出让国有土地使用权规范》办理。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惠州市公共资源交易中心  </w:t>
      </w:r>
    </w:p>
    <w:p>
      <w:pPr>
        <w:wordWrap w:val="0"/>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81659"/>
      <w:docPartObj>
        <w:docPartGallery w:val="autotext"/>
      </w:docPartObj>
    </w:sdtPr>
    <w:sdtContent>
      <w:p>
        <w:pPr>
          <w:pStyle w:val="4"/>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EB677C"/>
    <w:rsid w:val="0002672C"/>
    <w:rsid w:val="000302E4"/>
    <w:rsid w:val="00031CCA"/>
    <w:rsid w:val="00050DF1"/>
    <w:rsid w:val="000752D8"/>
    <w:rsid w:val="00084498"/>
    <w:rsid w:val="000855C0"/>
    <w:rsid w:val="000929F7"/>
    <w:rsid w:val="000A42CD"/>
    <w:rsid w:val="000A65CE"/>
    <w:rsid w:val="000C5AEA"/>
    <w:rsid w:val="000E6C20"/>
    <w:rsid w:val="000F397F"/>
    <w:rsid w:val="00104D0E"/>
    <w:rsid w:val="0011092C"/>
    <w:rsid w:val="00111FAC"/>
    <w:rsid w:val="001204DF"/>
    <w:rsid w:val="001656EA"/>
    <w:rsid w:val="00187389"/>
    <w:rsid w:val="00192383"/>
    <w:rsid w:val="00195C5B"/>
    <w:rsid w:val="001C073A"/>
    <w:rsid w:val="001C2329"/>
    <w:rsid w:val="001E7828"/>
    <w:rsid w:val="00212B62"/>
    <w:rsid w:val="00217790"/>
    <w:rsid w:val="00250D4E"/>
    <w:rsid w:val="002778C7"/>
    <w:rsid w:val="002A741E"/>
    <w:rsid w:val="002D00AC"/>
    <w:rsid w:val="002F060E"/>
    <w:rsid w:val="002F2591"/>
    <w:rsid w:val="0030191F"/>
    <w:rsid w:val="00305BDD"/>
    <w:rsid w:val="00310DFA"/>
    <w:rsid w:val="00313870"/>
    <w:rsid w:val="0032160A"/>
    <w:rsid w:val="00326B6D"/>
    <w:rsid w:val="00327A98"/>
    <w:rsid w:val="00335A17"/>
    <w:rsid w:val="00363E41"/>
    <w:rsid w:val="00392954"/>
    <w:rsid w:val="003A7D19"/>
    <w:rsid w:val="0040773F"/>
    <w:rsid w:val="00445607"/>
    <w:rsid w:val="004919C6"/>
    <w:rsid w:val="00492998"/>
    <w:rsid w:val="004A77B5"/>
    <w:rsid w:val="004B265D"/>
    <w:rsid w:val="004C1427"/>
    <w:rsid w:val="00562228"/>
    <w:rsid w:val="00587C1C"/>
    <w:rsid w:val="005B6B94"/>
    <w:rsid w:val="005E4B69"/>
    <w:rsid w:val="00615740"/>
    <w:rsid w:val="006B13D9"/>
    <w:rsid w:val="006B36E6"/>
    <w:rsid w:val="006B4DCB"/>
    <w:rsid w:val="006E2333"/>
    <w:rsid w:val="006F3CE4"/>
    <w:rsid w:val="00752D3D"/>
    <w:rsid w:val="007622DB"/>
    <w:rsid w:val="00770058"/>
    <w:rsid w:val="00773904"/>
    <w:rsid w:val="007A1844"/>
    <w:rsid w:val="007F05F1"/>
    <w:rsid w:val="00803BC3"/>
    <w:rsid w:val="00826D3A"/>
    <w:rsid w:val="00831620"/>
    <w:rsid w:val="0084509F"/>
    <w:rsid w:val="008475AE"/>
    <w:rsid w:val="008534B6"/>
    <w:rsid w:val="008709FA"/>
    <w:rsid w:val="00874031"/>
    <w:rsid w:val="008A764B"/>
    <w:rsid w:val="008C09CA"/>
    <w:rsid w:val="008C7B6B"/>
    <w:rsid w:val="008D7A86"/>
    <w:rsid w:val="00902BED"/>
    <w:rsid w:val="00933481"/>
    <w:rsid w:val="00946A82"/>
    <w:rsid w:val="0095754F"/>
    <w:rsid w:val="00957F2E"/>
    <w:rsid w:val="009A0E85"/>
    <w:rsid w:val="009A28DD"/>
    <w:rsid w:val="009A4204"/>
    <w:rsid w:val="00A45ECD"/>
    <w:rsid w:val="00A51D7C"/>
    <w:rsid w:val="00A814F3"/>
    <w:rsid w:val="00AB60A4"/>
    <w:rsid w:val="00AD14AE"/>
    <w:rsid w:val="00AF6441"/>
    <w:rsid w:val="00B117FE"/>
    <w:rsid w:val="00B11C63"/>
    <w:rsid w:val="00B40DA1"/>
    <w:rsid w:val="00B54E2E"/>
    <w:rsid w:val="00B8145D"/>
    <w:rsid w:val="00B83114"/>
    <w:rsid w:val="00B91855"/>
    <w:rsid w:val="00B97217"/>
    <w:rsid w:val="00BA61A4"/>
    <w:rsid w:val="00BC08A0"/>
    <w:rsid w:val="00C12E89"/>
    <w:rsid w:val="00C61F75"/>
    <w:rsid w:val="00C76EFB"/>
    <w:rsid w:val="00C77173"/>
    <w:rsid w:val="00C93D8B"/>
    <w:rsid w:val="00C968C7"/>
    <w:rsid w:val="00CA2DA5"/>
    <w:rsid w:val="00CB604F"/>
    <w:rsid w:val="00CC75DA"/>
    <w:rsid w:val="00CE5351"/>
    <w:rsid w:val="00CE717B"/>
    <w:rsid w:val="00CF0C5C"/>
    <w:rsid w:val="00CF43E2"/>
    <w:rsid w:val="00D20F96"/>
    <w:rsid w:val="00D33098"/>
    <w:rsid w:val="00D41524"/>
    <w:rsid w:val="00D47268"/>
    <w:rsid w:val="00DA199E"/>
    <w:rsid w:val="00DC7D06"/>
    <w:rsid w:val="00E233D0"/>
    <w:rsid w:val="00E5110D"/>
    <w:rsid w:val="00E93AE8"/>
    <w:rsid w:val="00EC3CE4"/>
    <w:rsid w:val="00EC5DE6"/>
    <w:rsid w:val="00F11CF0"/>
    <w:rsid w:val="00F13D2D"/>
    <w:rsid w:val="00F24EAE"/>
    <w:rsid w:val="00F2671A"/>
    <w:rsid w:val="00FA4D54"/>
    <w:rsid w:val="00FE5BDE"/>
    <w:rsid w:val="00FF52AB"/>
    <w:rsid w:val="026A42ED"/>
    <w:rsid w:val="047E4A7C"/>
    <w:rsid w:val="07BC4D9F"/>
    <w:rsid w:val="082A509A"/>
    <w:rsid w:val="08CC04B9"/>
    <w:rsid w:val="0A650DF3"/>
    <w:rsid w:val="0A9146C8"/>
    <w:rsid w:val="0B7C08B1"/>
    <w:rsid w:val="0E992F33"/>
    <w:rsid w:val="0FC14B9A"/>
    <w:rsid w:val="0FED08F4"/>
    <w:rsid w:val="13F90EA8"/>
    <w:rsid w:val="14EB677C"/>
    <w:rsid w:val="16991540"/>
    <w:rsid w:val="17311417"/>
    <w:rsid w:val="18510C91"/>
    <w:rsid w:val="1A9709DD"/>
    <w:rsid w:val="1AEE2345"/>
    <w:rsid w:val="1B8D1202"/>
    <w:rsid w:val="1BA77990"/>
    <w:rsid w:val="1CC405AD"/>
    <w:rsid w:val="1E6D6470"/>
    <w:rsid w:val="1F892EAA"/>
    <w:rsid w:val="2020255F"/>
    <w:rsid w:val="23D15B78"/>
    <w:rsid w:val="248C1BCA"/>
    <w:rsid w:val="26D60318"/>
    <w:rsid w:val="26DE56F6"/>
    <w:rsid w:val="27ED5E1D"/>
    <w:rsid w:val="2A5B6A0C"/>
    <w:rsid w:val="2B8260F0"/>
    <w:rsid w:val="2ECA6B03"/>
    <w:rsid w:val="2EFF4F87"/>
    <w:rsid w:val="30E22562"/>
    <w:rsid w:val="316A656E"/>
    <w:rsid w:val="31F23704"/>
    <w:rsid w:val="359D0CEF"/>
    <w:rsid w:val="36A0762A"/>
    <w:rsid w:val="3C707844"/>
    <w:rsid w:val="3C803B24"/>
    <w:rsid w:val="3C995B83"/>
    <w:rsid w:val="3EC40700"/>
    <w:rsid w:val="3F9E57C9"/>
    <w:rsid w:val="3FD02C50"/>
    <w:rsid w:val="42B84DD4"/>
    <w:rsid w:val="44767DC8"/>
    <w:rsid w:val="46EA33FE"/>
    <w:rsid w:val="49B75817"/>
    <w:rsid w:val="4DD142C4"/>
    <w:rsid w:val="4F0140DA"/>
    <w:rsid w:val="4F0922AF"/>
    <w:rsid w:val="4F60034F"/>
    <w:rsid w:val="512D0E67"/>
    <w:rsid w:val="515F0963"/>
    <w:rsid w:val="52A852A2"/>
    <w:rsid w:val="53C61D5C"/>
    <w:rsid w:val="54BB1214"/>
    <w:rsid w:val="54EF57E1"/>
    <w:rsid w:val="554774A9"/>
    <w:rsid w:val="554A25F8"/>
    <w:rsid w:val="56435259"/>
    <w:rsid w:val="56866DDC"/>
    <w:rsid w:val="5B6C68BC"/>
    <w:rsid w:val="5D00395E"/>
    <w:rsid w:val="5D2D65B1"/>
    <w:rsid w:val="5DC51E85"/>
    <w:rsid w:val="5F9C36A9"/>
    <w:rsid w:val="60E50A21"/>
    <w:rsid w:val="641A082A"/>
    <w:rsid w:val="67A327AC"/>
    <w:rsid w:val="69353F2C"/>
    <w:rsid w:val="69F51B6E"/>
    <w:rsid w:val="6A27187C"/>
    <w:rsid w:val="6B1A192E"/>
    <w:rsid w:val="6BD979AB"/>
    <w:rsid w:val="6BDC7DA2"/>
    <w:rsid w:val="6E387F74"/>
    <w:rsid w:val="6ED55099"/>
    <w:rsid w:val="6F1F3CC6"/>
    <w:rsid w:val="77044612"/>
    <w:rsid w:val="7ACF50E2"/>
    <w:rsid w:val="7C985DBB"/>
    <w:rsid w:val="7E683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qFormat/>
    <w:uiPriority w:val="0"/>
    <w:rPr>
      <w:color w:val="696969"/>
      <w:u w:val="single"/>
    </w:rPr>
  </w:style>
  <w:style w:type="character" w:styleId="8">
    <w:name w:val="Hyperlink"/>
    <w:basedOn w:val="6"/>
    <w:qFormat/>
    <w:uiPriority w:val="0"/>
    <w:rPr>
      <w:color w:val="696969"/>
      <w:u w:val="single"/>
    </w:rPr>
  </w:style>
  <w:style w:type="character" w:customStyle="1" w:styleId="10">
    <w:name w:val="页脚 Char"/>
    <w:basedOn w:val="6"/>
    <w:link w:val="4"/>
    <w:qFormat/>
    <w:uiPriority w:val="99"/>
    <w:rPr>
      <w:rFonts w:asciiTheme="minorHAnsi" w:hAnsiTheme="minorHAnsi" w:eastAsiaTheme="minorEastAsia" w:cstheme="minorBidi"/>
      <w:kern w:val="2"/>
      <w:sz w:val="18"/>
      <w:szCs w:val="24"/>
    </w:rPr>
  </w:style>
  <w:style w:type="character" w:customStyle="1" w:styleId="11">
    <w:name w:val="t-link52"/>
    <w:basedOn w:val="6"/>
    <w:qFormat/>
    <w:uiPriority w:val="0"/>
  </w:style>
  <w:style w:type="character" w:customStyle="1" w:styleId="12">
    <w:name w:val="t-in2"/>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D8305-1A45-4453-BE2D-41A762C36762}">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20</Pages>
  <Words>1347</Words>
  <Characters>7678</Characters>
  <Lines>63</Lines>
  <Paragraphs>18</Paragraphs>
  <TotalTime>6</TotalTime>
  <ScaleCrop>false</ScaleCrop>
  <LinksUpToDate>false</LinksUpToDate>
  <CharactersWithSpaces>9007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2019-01-11T01:30:00Z</dcterms:created>
  <dc:creator>刘智东</dc:creator>
  <cp:lastModifiedBy>Administrator</cp:lastModifiedBy>
  <cp:lastPrinted>2020-09-02T08:26:00Z</cp:lastPrinted>
  <dcterms:modified xsi:type="dcterms:W3CDTF">2020-11-06T08:31:41Z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