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15 </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（二）地块位置：小金口汤村片区;</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（三）规划编号：TC05-01-01;</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（四）地块范围：平面界址点以宗地图为准，宗地竖向界限以《规划条件告知书》(案卷编号:PB</w:t>
      </w:r>
      <w:r>
        <w:rPr>
          <w:rFonts w:hint="eastAsia" w:ascii="仿宋_GB2312" w:hAnsi="仿宋_GB2312" w:eastAsia="仿宋_GB2312" w:cs="仿宋_GB2312"/>
          <w:sz w:val="32"/>
          <w:szCs w:val="32"/>
          <w:lang w:val="en-US" w:eastAsia="zh-CN"/>
        </w:rPr>
        <w:t>20200021</w:t>
      </w:r>
      <w:r>
        <w:rPr>
          <w:rFonts w:hint="eastAsia" w:ascii="仿宋_GB2312" w:hAnsi="仿宋_GB2312" w:eastAsia="仿宋_GB2312" w:cs="仿宋_GB2312"/>
          <w:sz w:val="32"/>
          <w:szCs w:val="32"/>
        </w:rPr>
        <w:t>号) （以下简称“《告知书》”）规定为准；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（五）宗地使用权面积为：74818.74平方米；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（六）计算指标用地面积为：77723.76平方米；</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（七）计容积率建筑面积为：≤</w:t>
      </w:r>
      <w:r>
        <w:rPr>
          <w:rFonts w:hint="eastAsia" w:ascii="仿宋_GB2312" w:hAnsi="仿宋_GB2312" w:eastAsia="仿宋_GB2312" w:cs="仿宋_GB2312"/>
          <w:sz w:val="32"/>
          <w:szCs w:val="32"/>
          <w:lang w:val="en-US" w:eastAsia="zh-CN"/>
        </w:rPr>
        <w:t>233172</w:t>
      </w:r>
      <w:r>
        <w:rPr>
          <w:rFonts w:hint="eastAsia" w:ascii="仿宋_GB2312" w:hAnsi="仿宋_GB2312" w:eastAsia="仿宋_GB2312" w:cs="仿宋_GB2312"/>
          <w:sz w:val="32"/>
          <w:szCs w:val="32"/>
        </w:rPr>
        <w:t>㎡(其中：商业</w:t>
      </w:r>
      <w:r>
        <w:rPr>
          <w:rFonts w:hint="eastAsia" w:ascii="仿宋_GB2312" w:hAnsi="仿宋_GB2312" w:eastAsia="仿宋_GB2312" w:cs="仿宋_GB2312"/>
          <w:sz w:val="32"/>
          <w:szCs w:val="32"/>
          <w:lang w:eastAsia="zh-CN"/>
        </w:rPr>
        <w:t>建筑</w:t>
      </w:r>
      <w:r>
        <w:rPr>
          <w:rFonts w:hint="eastAsia" w:ascii="仿宋_GB2312" w:hAnsi="仿宋_GB2312" w:eastAsia="仿宋_GB2312" w:cs="仿宋_GB2312"/>
          <w:sz w:val="32"/>
          <w:szCs w:val="32"/>
          <w:lang w:val="en-US" w:eastAsia="zh-CN"/>
        </w:rPr>
        <w:t>面积≤5%，配套设施建筑面积≥7100㎡)；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（八）机动车停车位: 住宅、商业每100㎡计容积率建筑面积≥1个，幼儿园每100师生≥2个；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（九）土地用途为：</w:t>
      </w:r>
      <w:r>
        <w:rPr>
          <w:rFonts w:hint="default" w:ascii="仿宋_GB2312" w:hAnsi="仿宋_GB2312" w:eastAsia="仿宋_GB2312" w:cs="仿宋_GB2312"/>
          <w:sz w:val="32"/>
          <w:szCs w:val="32"/>
          <w:lang w:eastAsia="zh-CN"/>
        </w:rPr>
        <w:t>住宅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商服</w:t>
      </w:r>
      <w:r>
        <w:rPr>
          <w:rFonts w:hint="default" w:ascii="仿宋_GB2312" w:hAnsi="仿宋_GB2312" w:eastAsia="仿宋_GB2312" w:cs="仿宋_GB2312"/>
          <w:sz w:val="32"/>
          <w:szCs w:val="32"/>
          <w:lang w:eastAsia="zh-CN"/>
        </w:rPr>
        <w:t>用地</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（十）土地使用权出让年期为：住宅用地70年，商服用地40年；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（十一）容积率为：≤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 xml:space="preserve">；  </w:t>
      </w:r>
    </w:p>
    <w:p>
      <w:pPr>
        <w:spacing w:line="560" w:lineRule="exact"/>
        <w:ind w:firstLine="480" w:firstLineChars="150"/>
        <w:rPr>
          <w:rFonts w:hint="eastAsia" w:ascii="仿宋_GB2312" w:eastAsia="仿宋_GB2312" w:cs="Times New Roman"/>
          <w:sz w:val="32"/>
          <w:szCs w:val="32"/>
        </w:rPr>
      </w:pPr>
      <w:r>
        <w:rPr>
          <w:rFonts w:hint="eastAsia" w:ascii="仿宋_GB2312" w:hAnsi="仿宋_GB2312" w:eastAsia="仿宋_GB2312" w:cs="仿宋_GB2312"/>
          <w:sz w:val="32"/>
          <w:szCs w:val="32"/>
        </w:rPr>
        <w:t>（十二）</w:t>
      </w:r>
      <w:r>
        <w:rPr>
          <w:rFonts w:hint="eastAsia" w:ascii="仿宋_GB2312" w:eastAsia="仿宋_GB2312"/>
          <w:sz w:val="32"/>
          <w:szCs w:val="32"/>
        </w:rPr>
        <w:t>建筑密度为：</w:t>
      </w:r>
      <w:r>
        <w:rPr>
          <w:rFonts w:hint="eastAsia" w:ascii="仿宋_GB2312" w:hAnsi="仿宋_GB2312" w:eastAsia="仿宋_GB2312" w:cs="仿宋_GB2312"/>
          <w:sz w:val="32"/>
          <w:szCs w:val="32"/>
        </w:rPr>
        <w:t>≤</w:t>
      </w:r>
      <w:r>
        <w:rPr>
          <w:rFonts w:hint="eastAsia" w:ascii="仿宋_GB2312" w:eastAsia="仿宋_GB2312" w:cs="Times New Roman"/>
          <w:sz w:val="32"/>
          <w:szCs w:val="32"/>
          <w:lang w:val="en-US" w:eastAsia="zh-CN"/>
        </w:rPr>
        <w:t>22</w:t>
      </w:r>
      <w:r>
        <w:rPr>
          <w:rFonts w:hint="eastAsia" w:ascii="仿宋_GB2312" w:eastAsia="仿宋_GB2312" w:cs="Times New Roman"/>
          <w:sz w:val="32"/>
          <w:szCs w:val="32"/>
        </w:rPr>
        <w:t>%</w:t>
      </w:r>
      <w:r>
        <w:rPr>
          <w:rFonts w:hint="default" w:ascii="仿宋_GB2312" w:eastAsia="仿宋_GB2312" w:cs="Times New Roman"/>
          <w:sz w:val="32"/>
          <w:szCs w:val="32"/>
          <w:lang w:val="en-US" w:eastAsia="zh-CN"/>
        </w:rPr>
        <w:t>（其中住宅建筑密度</w:t>
      </w:r>
      <w:r>
        <w:rPr>
          <w:rFonts w:hint="eastAsia" w:ascii="仿宋_GB2312" w:hAnsi="仿宋_GB2312" w:eastAsia="仿宋_GB2312" w:cs="仿宋_GB2312"/>
          <w:sz w:val="32"/>
          <w:szCs w:val="32"/>
        </w:rPr>
        <w:t>≤</w:t>
      </w:r>
      <w:r>
        <w:rPr>
          <w:rFonts w:hint="default" w:ascii="仿宋_GB2312" w:eastAsia="仿宋_GB2312" w:cs="Times New Roman"/>
          <w:sz w:val="32"/>
          <w:szCs w:val="32"/>
          <w:lang w:val="en-US" w:eastAsia="zh-CN"/>
        </w:rPr>
        <w:t>22</w:t>
      </w:r>
      <w:r>
        <w:rPr>
          <w:rFonts w:hint="eastAsia" w:ascii="仿宋_GB2312" w:eastAsia="仿宋_GB2312" w:cs="Times New Roman"/>
          <w:sz w:val="32"/>
          <w:szCs w:val="32"/>
        </w:rPr>
        <w:t>%</w:t>
      </w:r>
      <w:r>
        <w:rPr>
          <w:rFonts w:hint="eastAsia" w:ascii="仿宋_GB2312" w:eastAsia="仿宋_GB2312" w:cs="Times New Roman"/>
          <w:sz w:val="32"/>
          <w:szCs w:val="32"/>
          <w:lang w:eastAsia="zh-CN"/>
        </w:rPr>
        <w:t>）</w:t>
      </w:r>
      <w:r>
        <w:rPr>
          <w:rFonts w:hint="eastAsia" w:ascii="仿宋_GB2312" w:eastAsia="仿宋_GB2312" w:cs="Times New Roman"/>
          <w:sz w:val="32"/>
          <w:szCs w:val="32"/>
        </w:rPr>
        <w:t>；</w:t>
      </w:r>
    </w:p>
    <w:p>
      <w:pPr>
        <w:spacing w:line="560" w:lineRule="exact"/>
        <w:ind w:firstLine="480" w:firstLineChars="150"/>
        <w:rPr>
          <w:rFonts w:hint="eastAsia" w:ascii="仿宋_GB2312" w:eastAsia="仿宋_GB2312" w:cs="Times New Roman"/>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）绿地率为：≥</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w:t>
      </w:r>
    </w:p>
    <w:p>
      <w:pPr>
        <w:rPr>
          <w:rFonts w:hint="eastAsia" w:ascii="仿宋_GB2312" w:eastAsia="仿宋_GB2312" w:cs="Times New Roman"/>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）适建性：</w:t>
      </w:r>
      <w:r>
        <w:rPr>
          <w:rFonts w:hint="default" w:ascii="仿宋_GB2312" w:eastAsia="仿宋_GB2312" w:cs="Times New Roman"/>
          <w:sz w:val="32"/>
          <w:szCs w:val="32"/>
        </w:rPr>
        <w:t>住宅和商业及配套设施</w:t>
      </w:r>
      <w:r>
        <w:rPr>
          <w:rFonts w:hint="eastAsia" w:ascii="仿宋_GB2312" w:eastAsia="仿宋_GB2312" w:cs="Times New Roman"/>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）动工及竣工时间：该地块的动工时间为地块交付之日起一年内，竣工时间为动工之日起三年内（因不可抗拒因素除外）；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）竞得人在缴清地价款后</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个月内办理交地手续，凭《交地确认书》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出让合同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和地价款交款凭证</w:t>
      </w:r>
      <w:r>
        <w:rPr>
          <w:rFonts w:hint="eastAsia" w:ascii="仿宋_GB2312" w:hAnsi="仿宋_GB2312" w:eastAsia="仿宋_GB2312" w:cs="仿宋_GB2312"/>
          <w:sz w:val="32"/>
          <w:szCs w:val="32"/>
        </w:rPr>
        <w:t>等申请办理土地初始登记，领取《不动产权证书》。</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 w:eastAsia="仿宋_GB2312"/>
          <w:sz w:val="32"/>
          <w:szCs w:val="32"/>
          <w:lang w:val="en-US" w:eastAsia="zh-CN"/>
        </w:rPr>
        <w:t>211300</w:t>
      </w:r>
      <w:r>
        <w:rPr>
          <w:rFonts w:hint="eastAsia" w:ascii="仿宋_GB2312" w:hAnsi="仿宋_GB2312" w:eastAsia="仿宋_GB2312" w:cs="仿宋_GB2312"/>
          <w:sz w:val="32"/>
          <w:szCs w:val="32"/>
        </w:rPr>
        <w:t>万元（含地价,不含</w:t>
      </w:r>
      <w:r>
        <w:rPr>
          <w:rFonts w:ascii="仿宋_GB2312" w:hAnsi="仿宋_GB2312" w:eastAsia="仿宋_GB2312" w:cs="仿宋_GB2312"/>
          <w:sz w:val="32"/>
          <w:szCs w:val="32"/>
        </w:rPr>
        <w:t>地价溢价部分</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w:t>
      </w:r>
      <w:r>
        <w:rPr>
          <w:rFonts w:hint="eastAsia" w:ascii="仿宋_GB2312" w:hAnsi="仿宋_GB2312" w:eastAsia="仿宋_GB2312" w:cs="仿宋_GB2312"/>
          <w:sz w:val="32"/>
          <w:szCs w:val="32"/>
          <w:lang w:val="en-US" w:eastAsia="zh-CN"/>
        </w:rPr>
        <w:t>一个月</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（四）竞得人在用地红线内开发建设必须符合城市规划要求，必须按《规划设计条件告知书》（案卷编号：</w:t>
      </w:r>
      <w:r>
        <w:rPr>
          <w:rFonts w:hint="eastAsia" w:ascii="仿宋_GB2312" w:hAnsi="仿宋_GB2312" w:eastAsia="仿宋_GB2312" w:cs="仿宋_GB2312"/>
          <w:sz w:val="32"/>
          <w:szCs w:val="32"/>
        </w:rPr>
        <w:t>PB</w:t>
      </w:r>
      <w:r>
        <w:rPr>
          <w:rFonts w:hint="eastAsia" w:ascii="仿宋_GB2312" w:hAnsi="仿宋_GB2312" w:eastAsia="仿宋_GB2312" w:cs="仿宋_GB2312"/>
          <w:sz w:val="32"/>
          <w:szCs w:val="32"/>
          <w:lang w:val="en-US" w:eastAsia="zh-CN"/>
        </w:rPr>
        <w:t>20200021）规划控制指标要求及有关规定进行规划设计。</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TC05-01-01地块内的配套幼儿园用地，在办理用地供地手续时，应将整个地块办理出让手续，在出让合同中明确由TC05-01-01地块使用权人按照规划要求和惠城区教育局提出的建设标准完成配套幼儿园建设并无偿移交，不动产登记部门在办理分割登记时，将幼儿园办至惠城区教育局名下。幼儿园应与项目同步规划、同步建设、同步实施，TC05-01-01地块如分期建设，幼儿园须纳入首期工程；</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（六）取得TC05-01-01地块土地使用权人应按照《规划设计条件告知书》的规划要求配建相应的配套设施。</w:t>
      </w:r>
    </w:p>
    <w:p>
      <w:pPr>
        <w:tabs>
          <w:tab w:val="left" w:pos="3388"/>
        </w:tabs>
        <w:spacing w:line="560" w:lineRule="exact"/>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26182</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3703</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28700</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竞得人缴交的保证金中按成交价的10%转作定金。竞得人有下列行为之一的，视为违约，取消竞得人资格，没收保证金,并由有关部门依法处理;造成损失的，竞得人还应依法承担赔偿责任：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挂牌起始价为人民币</w:t>
      </w:r>
      <w:r>
        <w:rPr>
          <w:rFonts w:hint="eastAsia" w:ascii="仿宋_GB2312" w:hAnsi="仿宋_GB2312" w:eastAsia="仿宋_GB2312" w:cs="仿宋_GB2312"/>
          <w:sz w:val="32"/>
          <w:szCs w:val="32"/>
          <w:u w:val="single"/>
          <w:lang w:val="en-US" w:eastAsia="zh-CN"/>
        </w:rPr>
        <w:t>壹拾叁亿玖佰壹拾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130910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rPr>
        <w:t>壹</w:t>
      </w:r>
      <w:r>
        <w:rPr>
          <w:rFonts w:hint="eastAsia" w:ascii="仿宋_GB2312" w:hAnsi="仿宋_GB2312" w:eastAsia="仿宋_GB2312" w:cs="仿宋_GB2312"/>
          <w:sz w:val="32"/>
          <w:szCs w:val="32"/>
          <w:u w:val="single"/>
          <w:lang w:val="en-US" w:eastAsia="zh-CN"/>
        </w:rPr>
        <w:t>仟</w:t>
      </w:r>
      <w:r>
        <w:rPr>
          <w:rFonts w:hint="eastAsia" w:ascii="仿宋_GB2312" w:hAnsi="仿宋_GB2312" w:eastAsia="仿宋_GB2312" w:cs="仿宋_GB2312"/>
          <w:sz w:val="32"/>
          <w:szCs w:val="32"/>
          <w:u w:val="single"/>
        </w:rPr>
        <w:t>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100</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（一）网上挂牌起始时间：2020年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申请人可在网上挂牌交易系统浏览或下载本次网上挂牌出让文件，具体包括：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1、《惠州市国有建设用地使用权和矿业权电子挂牌交易规则》；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2、《惠州市国有建设用地使用权网上挂牌交易操作说明》；</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3、网上挂牌出让公告；</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4、挂牌出让地块现状图；</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5、惠州市国有建设用地使用权网上挂牌出让须知；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6、竞买申请书（样本）；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7、惠州市公共资源交易中心土地与矿业网上挂牌交易成交通知书（样本）；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8、《国有建设用地使用权出让合同》（以下简称“出让合同”）样本；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9、宗地规划指标要求；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10、附件。</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（二）本宗地竞买保证金到账截止时间为2020年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4  </w:t>
      </w:r>
      <w:r>
        <w:rPr>
          <w:rFonts w:hint="eastAsia" w:ascii="仿宋_GB2312" w:hAnsi="仿宋_GB2312" w:eastAsia="仿宋_GB2312" w:cs="仿宋_GB2312"/>
          <w:sz w:val="32"/>
          <w:szCs w:val="32"/>
        </w:rPr>
        <w:t xml:space="preserve">  日9时整，竞买保证金为人民币</w:t>
      </w:r>
      <w:r>
        <w:rPr>
          <w:rFonts w:hint="eastAsia" w:ascii="仿宋_GB2312" w:hAnsi="仿宋_GB2312" w:eastAsia="仿宋_GB2312" w:cs="仿宋_GB2312"/>
          <w:sz w:val="32"/>
          <w:szCs w:val="32"/>
          <w:u w:val="single"/>
          <w:lang w:val="en-US" w:eastAsia="zh-CN"/>
        </w:rPr>
        <w:t>贰亿陆仟壹佰捌拾贰</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26182</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叁仟柒</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零叁</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3703</w:t>
      </w:r>
      <w:r>
        <w:rPr>
          <w:rFonts w:hint="eastAsia" w:ascii="仿宋_GB2312" w:hAnsi="仿宋_GB2312" w:eastAsia="仿宋_GB2312" w:cs="仿宋_GB2312"/>
          <w:sz w:val="32"/>
          <w:szCs w:val="32"/>
        </w:rPr>
        <w:t>万元）或港币</w:t>
      </w:r>
      <w:r>
        <w:rPr>
          <w:rFonts w:hint="eastAsia" w:ascii="仿宋_GB2312" w:hAnsi="仿宋_GB2312" w:eastAsia="仿宋_GB2312" w:cs="仿宋_GB2312"/>
          <w:sz w:val="32"/>
          <w:szCs w:val="32"/>
          <w:u w:val="single"/>
          <w:lang w:val="en-US" w:eastAsia="zh-CN"/>
        </w:rPr>
        <w:t>贰亿捌</w:t>
      </w:r>
      <w:r>
        <w:rPr>
          <w:rFonts w:hint="eastAsia" w:ascii="仿宋_GB2312" w:hAnsi="仿宋_GB2312" w:eastAsia="仿宋_GB2312" w:cs="仿宋_GB2312"/>
          <w:sz w:val="32"/>
          <w:szCs w:val="32"/>
          <w:u w:val="single"/>
        </w:rPr>
        <w:t>仟</w:t>
      </w:r>
      <w:r>
        <w:rPr>
          <w:rFonts w:hint="eastAsia" w:ascii="仿宋_GB2312" w:hAnsi="仿宋_GB2312" w:eastAsia="仿宋_GB2312" w:cs="仿宋_GB2312"/>
          <w:sz w:val="32"/>
          <w:szCs w:val="32"/>
          <w:u w:val="single"/>
          <w:lang w:val="en-US" w:eastAsia="zh-CN"/>
        </w:rPr>
        <w:t>柒</w:t>
      </w:r>
      <w:r>
        <w:rPr>
          <w:rFonts w:hint="eastAsia" w:ascii="仿宋_GB2312" w:hAnsi="仿宋_GB2312" w:eastAsia="仿宋_GB2312" w:cs="仿宋_GB2312"/>
          <w:sz w:val="32"/>
          <w:szCs w:val="32"/>
          <w:u w:val="single"/>
        </w:rPr>
        <w:t>佰万元整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28700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1、中国建设银行惠州广场支行。</w:t>
      </w:r>
    </w:p>
    <w:p>
      <w:pPr>
        <w:spacing w:line="560" w:lineRule="exact"/>
        <w:ind w:left="640" w:hanging="640" w:hangingChars="200"/>
        <w:jc w:val="left"/>
        <w:rPr>
          <w:rFonts w:ascii="仿宋_GB2312" w:eastAsia="仿宋_GB2312"/>
          <w:sz w:val="32"/>
          <w:szCs w:val="32"/>
        </w:rPr>
      </w:pPr>
      <w:r>
        <w:rPr>
          <w:rFonts w:hint="eastAsia" w:ascii="仿宋_GB2312" w:eastAsia="仿宋_GB2312"/>
          <w:sz w:val="32"/>
          <w:szCs w:val="32"/>
        </w:rPr>
        <w:t xml:space="preserve">    2、中国银行惠州分行。                                 3、中国工商银行股份有限公司惠州富力国际中心支行 。</w:t>
      </w:r>
    </w:p>
    <w:p>
      <w:pPr>
        <w:spacing w:line="560" w:lineRule="exact"/>
        <w:jc w:val="left"/>
        <w:rPr>
          <w:rFonts w:ascii="仿宋_GB2312" w:eastAsia="仿宋_GB2312"/>
          <w:sz w:val="32"/>
          <w:szCs w:val="32"/>
        </w:rPr>
      </w:pPr>
      <w:r>
        <w:rPr>
          <w:rFonts w:hint="eastAsia" w:ascii="仿宋_GB2312" w:eastAsia="仿宋_GB2312"/>
          <w:sz w:val="32"/>
          <w:szCs w:val="32"/>
        </w:rPr>
        <w:t xml:space="preserve">    4、中国农业银行惠州分行。</w:t>
      </w:r>
    </w:p>
    <w:p>
      <w:pPr>
        <w:spacing w:line="560" w:lineRule="exact"/>
        <w:ind w:firstLine="630"/>
        <w:jc w:val="left"/>
        <w:rPr>
          <w:rFonts w:ascii="仿宋_GB2312" w:eastAsia="仿宋_GB2312"/>
          <w:sz w:val="32"/>
          <w:szCs w:val="32"/>
        </w:rPr>
      </w:pPr>
      <w:r>
        <w:rPr>
          <w:rFonts w:hint="eastAsia" w:ascii="仿宋_GB2312" w:eastAsia="仿宋_GB2312"/>
          <w:sz w:val="32"/>
          <w:szCs w:val="32"/>
        </w:rPr>
        <w:t>5、中信银行股份有限公司惠州分行。(备注:中信银行股份有限公司惠州分行本行转帐须到银行柜面办理)。</w:t>
      </w:r>
    </w:p>
    <w:p>
      <w:pPr>
        <w:spacing w:line="560" w:lineRule="exact"/>
        <w:ind w:firstLine="630"/>
        <w:jc w:val="left"/>
        <w:rPr>
          <w:rFonts w:ascii="仿宋_GB2312" w:eastAsia="仿宋_GB2312"/>
          <w:sz w:val="32"/>
          <w:szCs w:val="32"/>
        </w:rPr>
      </w:pPr>
      <w:r>
        <w:rPr>
          <w:rFonts w:hint="eastAsia" w:ascii="仿宋_GB2312" w:eastAsia="仿宋_GB2312"/>
          <w:sz w:val="32"/>
          <w:szCs w:val="32"/>
        </w:rPr>
        <w:t>6、惠州市农村商业银行股份有限公司惠城支行。</w:t>
      </w:r>
    </w:p>
    <w:p>
      <w:pPr>
        <w:spacing w:line="560" w:lineRule="exact"/>
        <w:ind w:firstLine="630"/>
        <w:jc w:val="left"/>
        <w:rPr>
          <w:rFonts w:ascii="仿宋_GB2312" w:eastAsia="仿宋_GB2312"/>
          <w:sz w:val="32"/>
          <w:szCs w:val="32"/>
        </w:rPr>
      </w:pPr>
      <w:r>
        <w:rPr>
          <w:rFonts w:hint="eastAsia" w:ascii="仿宋_GB2312" w:eastAsia="仿宋_GB2312"/>
          <w:sz w:val="32"/>
          <w:szCs w:val="32"/>
        </w:rPr>
        <w:t>7、交通银行惠州分行。</w:t>
      </w:r>
    </w:p>
    <w:p>
      <w:pPr>
        <w:spacing w:line="560" w:lineRule="exact"/>
        <w:jc w:val="left"/>
        <w:rPr>
          <w:rFonts w:ascii="仿宋_GB2312" w:eastAsia="仿宋_GB2312"/>
          <w:sz w:val="32"/>
          <w:szCs w:val="32"/>
        </w:rPr>
      </w:pPr>
      <w:r>
        <w:rPr>
          <w:rFonts w:hint="eastAsia" w:ascii="仿宋_GB2312" w:eastAsia="仿宋_GB2312"/>
          <w:sz w:val="32"/>
          <w:szCs w:val="32"/>
        </w:rPr>
        <w:t xml:space="preserve">    8、上海浦东发展银行股份有限公司惠州分行 。</w:t>
      </w:r>
    </w:p>
    <w:p>
      <w:pPr>
        <w:spacing w:line="560" w:lineRule="exact"/>
        <w:jc w:val="left"/>
        <w:rPr>
          <w:rFonts w:ascii="仿宋_GB2312" w:eastAsia="仿宋_GB2312"/>
          <w:sz w:val="32"/>
          <w:szCs w:val="32"/>
        </w:rPr>
      </w:pPr>
      <w:r>
        <w:rPr>
          <w:rFonts w:hint="eastAsia" w:ascii="仿宋_GB2312" w:eastAsia="仿宋_GB2312"/>
          <w:sz w:val="32"/>
          <w:szCs w:val="32"/>
        </w:rPr>
        <w:t xml:space="preserve">    9、广发银行惠州江北支行。</w:t>
      </w:r>
    </w:p>
    <w:p>
      <w:pPr>
        <w:spacing w:line="560" w:lineRule="exact"/>
        <w:jc w:val="left"/>
        <w:rPr>
          <w:rFonts w:ascii="仿宋_GB2312" w:eastAsia="仿宋_GB2312"/>
          <w:sz w:val="32"/>
          <w:szCs w:val="32"/>
        </w:rPr>
      </w:pPr>
      <w:r>
        <w:rPr>
          <w:rFonts w:hint="eastAsia" w:ascii="仿宋_GB2312" w:eastAsia="仿宋_GB2312"/>
          <w:sz w:val="32"/>
          <w:szCs w:val="32"/>
        </w:rPr>
        <w:t xml:space="preserve">   10、中国民生银行股份有限公司惠州分行。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十四、系统操作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本中心网上挂牌交易系统（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1、网上挂牌交易结束后，竞得人应当自行下载打印《竞买申请书》、《竞价结果通知书》并盖章。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联合竞买协议要约定联合各方的权利和义务。必须明确表达参与联合竞买的各方、参与竞买的代表人、联合各方的出资比例和签订《出让合同》时的受让人。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（五）确定竞得人后，竞得人持《惠州市公共资源交易中心网上挂牌交易成交通知书》以及参加本宗地网上挂牌交易的所须资料到惠州市公共资源交易中心土地矿业交易部申办相关成交确认手续。</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《惠州市公共资源交易中心网上挂牌交易成交通知书》对挂牌人和竞得人具有法律效力，挂牌人改变网上挂牌结果的，或者竞得人放弃竞得宗地的，应当承担相应法律责任。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（六）竞得人缴纳的竞买保证金，网上挂牌成交后，竞得人应到我中心办理保证金转付地价款手续(保证金中按成交价款的10%转作受让地块的定金）。未竞得人缴交的竞买保证金，在网上挂牌活动结束后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（八）竞得人签订《国有建设用地使用权网上挂牌成交确认书》后，竞买保证金抵作土地出让价款，成交价款余款按《出让合同》的约定支付。《成交确认书》签订之日起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九）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（十二）该宗地使用网上挂牌方式出让，交易全程适用《惠州市国有建设用地使用权和矿业权电子挂牌交易规则》（惠府〔2014〕167号）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（十六）本须知及公告涉及的时间期限，以惠州市公共资源交易中心土地与矿业网上挂牌交易系统服务器的时间为准。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（十七）竞买人在本次网上挂牌交易过程中与惠州市公共资源交易中心发生任何争议，由双方协商。协商不成的可依法提交惠州市仲裁机构仲裁解决。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（十八）本中心对本《须知》有解释权。未尽事宜依照《招标拍卖挂牌出让国有土地使用权规范》办理。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3388"/>
        </w:tabs>
        <w:ind w:firstLine="4640" w:firstLineChars="1450"/>
        <w:jc w:val="left"/>
        <w:rPr>
          <w:rFonts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bookmarkStart w:id="8" w:name="_GoBack"/>
      <w:bookmarkEnd w:id="8"/>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3"/>
        </w:pPr>
        <w:r>
          <w:fldChar w:fldCharType="begin"/>
        </w:r>
        <w:r>
          <w:instrText xml:space="preserve"> PAGE   \* MERGEFORMAT </w:instrText>
        </w:r>
        <w:r>
          <w:fldChar w:fldCharType="separate"/>
        </w:r>
        <w:r>
          <w:rPr>
            <w:lang w:val="zh-CN"/>
          </w:rPr>
          <w:t>-</w:t>
        </w:r>
        <w:r>
          <w:t xml:space="preserve"> 17 -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54F511E"/>
    <w:rsid w:val="00006A7B"/>
    <w:rsid w:val="00013E7E"/>
    <w:rsid w:val="000721C6"/>
    <w:rsid w:val="000837BB"/>
    <w:rsid w:val="000A092B"/>
    <w:rsid w:val="000A5504"/>
    <w:rsid w:val="000D0D10"/>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17A430E"/>
    <w:rsid w:val="030F1806"/>
    <w:rsid w:val="04AD7D35"/>
    <w:rsid w:val="054F511E"/>
    <w:rsid w:val="0CD05DB7"/>
    <w:rsid w:val="0F830A62"/>
    <w:rsid w:val="109A02CD"/>
    <w:rsid w:val="15FF6E77"/>
    <w:rsid w:val="1D6E1B8C"/>
    <w:rsid w:val="1EC2354D"/>
    <w:rsid w:val="1EF313AD"/>
    <w:rsid w:val="20061FAD"/>
    <w:rsid w:val="208300A4"/>
    <w:rsid w:val="22C0634F"/>
    <w:rsid w:val="25846929"/>
    <w:rsid w:val="296C67A2"/>
    <w:rsid w:val="2A8A6543"/>
    <w:rsid w:val="2B1F451B"/>
    <w:rsid w:val="2D6206D4"/>
    <w:rsid w:val="30853164"/>
    <w:rsid w:val="34405344"/>
    <w:rsid w:val="3DBA5BC3"/>
    <w:rsid w:val="3E3E281B"/>
    <w:rsid w:val="4632212B"/>
    <w:rsid w:val="4802555E"/>
    <w:rsid w:val="49EB09D0"/>
    <w:rsid w:val="537126BA"/>
    <w:rsid w:val="575C2D03"/>
    <w:rsid w:val="67576BA1"/>
    <w:rsid w:val="68C033F6"/>
    <w:rsid w:val="69CC62F3"/>
    <w:rsid w:val="71772A86"/>
    <w:rsid w:val="7FA445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0"/>
    <w:rPr>
      <w:rFonts w:ascii="Calibri" w:hAnsi="Calibri"/>
      <w:kern w:val="2"/>
      <w:sz w:val="18"/>
      <w:szCs w:val="18"/>
    </w:rPr>
  </w:style>
  <w:style w:type="character" w:customStyle="1" w:styleId="8">
    <w:name w:val="页脚 Char"/>
    <w:basedOn w:val="5"/>
    <w:link w:val="3"/>
    <w:uiPriority w:val="99"/>
    <w:rPr>
      <w:rFonts w:ascii="Calibri" w:hAnsi="Calibri"/>
      <w:kern w:val="2"/>
      <w:sz w:val="18"/>
      <w:szCs w:val="22"/>
    </w:rPr>
  </w:style>
  <w:style w:type="character" w:customStyle="1" w:styleId="9">
    <w:name w:val="正文文本缩进 Char"/>
    <w:basedOn w:val="5"/>
    <w:link w:val="2"/>
    <w:uiPriority w:val="0"/>
    <w:rPr>
      <w:rFonts w:ascii="仿宋_GB2312" w:hAnsi="华文中宋" w:eastAsia="仿宋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16</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袁秀玲</cp:lastModifiedBy>
  <cp:lastPrinted>2020-01-22T08:47:00Z</cp:lastPrinted>
  <dcterms:modified xsi:type="dcterms:W3CDTF">2020-04-30T09:28:12Z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