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800" w:lineRule="exact"/>
        <w:ind w:left="0" w:right="0"/>
        <w:jc w:val="center"/>
        <w:textAlignment w:val="auto"/>
        <w:rPr>
          <w:rFonts w:hint="eastAsia" w:ascii="仿宋" w:hAnsi="仿宋" w:eastAsia="仿宋" w:cs="仿宋"/>
          <w:sz w:val="48"/>
          <w:szCs w:val="48"/>
        </w:rPr>
      </w:pPr>
      <w:r>
        <w:rPr>
          <w:rFonts w:hint="eastAsia" w:ascii="仿宋" w:hAnsi="仿宋" w:eastAsia="仿宋" w:cs="仿宋"/>
          <w:sz w:val="48"/>
          <w:szCs w:val="48"/>
        </w:rPr>
        <w:t>惠州市国有建设用地使用权网上挂牌出让竞买须知</w:t>
      </w:r>
    </w:p>
    <w:p>
      <w:pPr>
        <w:pStyle w:val="5"/>
        <w:keepNext w:val="0"/>
        <w:keepLines w:val="0"/>
        <w:widowControl/>
        <w:suppressLineNumbers w:val="0"/>
        <w:spacing w:before="75" w:beforeAutospacing="0" w:after="75" w:afterAutospacing="0" w:line="7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惠公易土市直[202</w:t>
      </w:r>
      <w:r>
        <w:rPr>
          <w:rFonts w:hint="eastAsia" w:ascii="仿宋" w:hAnsi="仿宋" w:eastAsia="仿宋" w:cs="仿宋"/>
          <w:sz w:val="32"/>
          <w:szCs w:val="32"/>
          <w:lang w:val="en-US" w:eastAsia="zh-CN"/>
        </w:rPr>
        <w:t>6</w:t>
      </w:r>
      <w:r>
        <w:rPr>
          <w:rFonts w:hint="eastAsia" w:ascii="仿宋" w:hAnsi="仿宋" w:eastAsia="仿宋" w:cs="仿宋"/>
          <w:sz w:val="32"/>
          <w:szCs w:val="32"/>
        </w:rPr>
        <w:t>]0</w:t>
      </w:r>
      <w:r>
        <w:rPr>
          <w:rFonts w:hint="eastAsia" w:ascii="仿宋" w:hAnsi="仿宋" w:eastAsia="仿宋" w:cs="仿宋"/>
          <w:sz w:val="32"/>
          <w:szCs w:val="32"/>
          <w:lang w:val="en-US" w:eastAsia="zh-CN"/>
        </w:rPr>
        <w:t>22</w:t>
      </w:r>
      <w:r>
        <w:rPr>
          <w:rFonts w:hint="eastAsia" w:ascii="仿宋" w:hAnsi="仿宋" w:eastAsia="仿宋" w:cs="仿宋"/>
          <w:sz w:val="32"/>
          <w:szCs w:val="32"/>
        </w:rPr>
        <w:t>号</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三、中华人民共和国境内外的法人和其他组织（除法律法规另有规定外），符合竞买资格的，均可通过电子交易系统，申请参加电子挂牌交易活动。</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惠州市</w:t>
      </w:r>
      <w:r>
        <w:rPr>
          <w:rFonts w:hint="eastAsia" w:ascii="仿宋" w:hAnsi="仿宋" w:eastAsia="仿宋" w:cs="仿宋"/>
          <w:sz w:val="32"/>
          <w:szCs w:val="32"/>
          <w:lang w:val="en-US" w:eastAsia="zh-CN"/>
        </w:rPr>
        <w:t>惠城区</w:t>
      </w:r>
      <w:r>
        <w:rPr>
          <w:rFonts w:hint="eastAsia" w:ascii="仿宋" w:hAnsi="仿宋" w:eastAsia="仿宋" w:cs="仿宋"/>
          <w:sz w:val="32"/>
          <w:szCs w:val="32"/>
        </w:rPr>
        <w:t>国有建设用地使用权网上挂牌出让公告（以下简称“挂牌出让公告”）对竞买资格有特别要求的，以挂牌出让公告为准。</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w:t>
      </w:r>
      <w:r>
        <w:rPr>
          <w:rFonts w:hint="eastAsia" w:ascii="仿宋" w:hAnsi="仿宋" w:eastAsia="仿宋" w:cs="仿宋"/>
          <w:sz w:val="32"/>
          <w:szCs w:val="32"/>
          <w:lang w:val="en-US" w:eastAsia="zh-CN"/>
        </w:rPr>
        <w:t>惠城区</w:t>
      </w:r>
      <w:r>
        <w:rPr>
          <w:rFonts w:hint="eastAsia" w:ascii="仿宋" w:hAnsi="仿宋" w:eastAsia="仿宋" w:cs="仿宋"/>
          <w:sz w:val="32"/>
          <w:szCs w:val="32"/>
        </w:rPr>
        <w:t>自然</w:t>
      </w:r>
      <w:r>
        <w:rPr>
          <w:rFonts w:hint="eastAsia" w:ascii="仿宋" w:hAnsi="仿宋" w:eastAsia="仿宋" w:cs="仿宋"/>
          <w:sz w:val="32"/>
          <w:szCs w:val="32"/>
          <w:lang w:val="en-US" w:eastAsia="zh-CN"/>
        </w:rPr>
        <w:t>资</w:t>
      </w:r>
      <w:r>
        <w:rPr>
          <w:rFonts w:hint="eastAsia" w:ascii="仿宋" w:hAnsi="仿宋" w:eastAsia="仿宋" w:cs="仿宋"/>
          <w:sz w:val="32"/>
          <w:szCs w:val="32"/>
        </w:rPr>
        <w:t>源局咨询。有意竞买者可自行踏勘现场（可在电子交易系统查阅位置图和现状图）。</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五、网上挂牌交易程序</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（一）发布网上挂牌信息</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有关宗地的电子挂牌出让公告等相关信息通过中国土地市场网、广东省公共资源交易平台和电子交易系统等</w:t>
      </w:r>
      <w:r>
        <w:rPr>
          <w:rFonts w:hint="eastAsia" w:ascii="仿宋" w:hAnsi="仿宋" w:eastAsia="仿宋" w:cs="仿宋"/>
          <w:sz w:val="32"/>
          <w:szCs w:val="32"/>
          <w:lang w:val="en-US" w:eastAsia="zh-CN"/>
        </w:rPr>
        <w:t>媒介</w:t>
      </w:r>
      <w:r>
        <w:rPr>
          <w:rFonts w:hint="eastAsia" w:ascii="仿宋" w:hAnsi="仿宋" w:eastAsia="仿宋" w:cs="仿宋"/>
          <w:b w:val="0"/>
          <w:bCs w:val="0"/>
          <w:color w:val="auto"/>
          <w:sz w:val="32"/>
          <w:szCs w:val="32"/>
          <w:highlight w:val="none"/>
        </w:rPr>
        <w:t>及</w:t>
      </w:r>
      <w:r>
        <w:rPr>
          <w:rFonts w:hint="eastAsia" w:ascii="仿宋" w:hAnsi="仿宋" w:eastAsia="仿宋" w:cs="仿宋"/>
          <w:b w:val="0"/>
          <w:bCs w:val="0"/>
          <w:color w:val="auto"/>
          <w:sz w:val="32"/>
          <w:szCs w:val="32"/>
          <w:highlight w:val="none"/>
          <w:lang w:val="en-US" w:eastAsia="zh-CN"/>
        </w:rPr>
        <w:t>交易</w:t>
      </w:r>
      <w:r>
        <w:rPr>
          <w:rFonts w:hint="eastAsia" w:ascii="仿宋" w:hAnsi="仿宋" w:eastAsia="仿宋" w:cs="仿宋"/>
          <w:b w:val="0"/>
          <w:bCs w:val="0"/>
          <w:color w:val="auto"/>
          <w:sz w:val="32"/>
          <w:szCs w:val="32"/>
          <w:highlight w:val="none"/>
        </w:rPr>
        <w:t>场所发布</w:t>
      </w:r>
      <w:r>
        <w:rPr>
          <w:rFonts w:hint="eastAsia" w:ascii="仿宋" w:hAnsi="仿宋" w:eastAsia="仿宋" w:cs="仿宋"/>
          <w:sz w:val="32"/>
          <w:szCs w:val="32"/>
        </w:rPr>
        <w:t>。</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有意竞买者可登录电子交易系统网站(https://tdky.hzggzyjy.cn/)查询。</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（二）挂牌文件获取</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申请人可在电子交易系统浏览和下载本宗地网上挂牌出让文件，具体包括：</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1、惠州市</w:t>
      </w:r>
      <w:r>
        <w:rPr>
          <w:rFonts w:hint="eastAsia" w:ascii="仿宋" w:hAnsi="仿宋" w:eastAsia="仿宋" w:cs="仿宋"/>
          <w:sz w:val="32"/>
          <w:szCs w:val="32"/>
          <w:lang w:val="en-US" w:eastAsia="zh-CN"/>
        </w:rPr>
        <w:t>惠城区</w:t>
      </w:r>
      <w:r>
        <w:rPr>
          <w:rFonts w:hint="eastAsia" w:ascii="仿宋" w:hAnsi="仿宋" w:eastAsia="仿宋" w:cs="仿宋"/>
          <w:sz w:val="32"/>
          <w:szCs w:val="32"/>
        </w:rPr>
        <w:t>国有建设用地使用权网上挂牌出让公告；</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2、惠州市国有建设用地使用权网上挂牌出让竞买须知；</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3、挂牌出让地块现状图；</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4、建设用地红线界限图；</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5、建设用地规划设计条件；</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6、国有建设用地使用权网上挂牌成交确认书（样本）；</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7、国有建设用地使用权出让合同（样本）；</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8、其他相关文件。</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（三）办理数字证书</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数字证书的办理流程详见电子交易系统上的《数字证书办理指南》。</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（四）申请竞买</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（五）交纳竞买保证金并获得竞买报价权限</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1、竞买保证金是申请人参加网上挂牌交易活动的资格条件。按规定将竞买保证金汇入指定账户，是参加网上挂牌交易活动的必经程序。</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4、竞买保证金到账时间以电子交易系统确认并发出《竞买保证金到账通知书》为准。</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5、竞买保证金开户单位：惠州市公共资源交易中心</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竞买保证金账号：电子交易系统随机产生竞买保证金支付账号。</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开户银行：</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（1）中国建设银行惠州广场支行；</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（2）中国银行惠州分行；</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（3）中国工商银行股份有限公司惠州富力国际中心支行 ；</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（4）中国农业银行惠州分行；</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（5）广发银行惠州江北支行；</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（6）交通银行惠州分行；</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（7）惠州市农村商业银行股份有限公司惠城支行；</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（8）上海浦东发展银行股份有限公司惠州分行 ；</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（9）中国民生银行股份有限公司惠州分行；</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(10）中信银行股份有限公司惠州分行。</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（六）竞买人电子报价及电子限时竞价</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1、竞买人通过电子交易系统进行报价。电子报价和电子限时竞价按以下规则进行：</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（1）增价方式进行报价；</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（2）竞买人可多次报价；</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（3）初次报价不得低于起始价；</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（4）每次增价数额应是规定的增价幅度的整数倍；</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2、竞买人应当谨慎报价，报价一经提交并经电子交易系统确认为有效报价，不可撤回。</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电子挂牌交易期限截止前，竞买人应当进行至少一次有效报价，方有资格参加</w:t>
      </w:r>
      <w:r>
        <w:rPr>
          <w:rFonts w:hint="eastAsia" w:ascii="仿宋" w:hAnsi="仿宋" w:eastAsia="仿宋" w:cs="仿宋"/>
          <w:sz w:val="32"/>
          <w:szCs w:val="32"/>
          <w:lang w:eastAsia="zh-CN"/>
        </w:rPr>
        <w:t>交易</w:t>
      </w:r>
      <w:r>
        <w:rPr>
          <w:rFonts w:hint="eastAsia" w:ascii="仿宋" w:hAnsi="仿宋" w:eastAsia="仿宋" w:cs="仿宋"/>
          <w:sz w:val="32"/>
          <w:szCs w:val="32"/>
        </w:rPr>
        <w:t>宗地的电子限时竞价。</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3、电子限时竞价是指在挂牌出让公告规定的电子挂牌交易期限截止时，有2个以上的竞买人报价，且经电子交易系统询问，5分钟内限时决定是否愿意继续报价</w:t>
      </w:r>
      <w:r>
        <w:rPr>
          <w:rFonts w:hint="eastAsia" w:ascii="仿宋" w:hAnsi="仿宋" w:eastAsia="仿宋" w:cs="仿宋"/>
          <w:sz w:val="32"/>
          <w:szCs w:val="32"/>
          <w:lang w:val="en-US" w:eastAsia="zh-CN"/>
        </w:rPr>
        <w:t>，</w:t>
      </w:r>
      <w:r>
        <w:rPr>
          <w:rFonts w:hint="eastAsia" w:ascii="仿宋" w:hAnsi="仿宋" w:eastAsia="仿宋" w:cs="仿宋"/>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（七）确定成交候选人</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电子挂牌交易按照下列规则确定成交候选人：</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1、在电子挂牌交易期限内只有1个竞买人报价，且报价不低于起始价的，则该报价者为成交候选人；</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3、电子挂牌交易期限内无报价的，挂牌不成交；</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4、进入电子限时竞价，电子限时竞价中报价最高且报价不低于起始价者为成交候选人；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5、进入电子限时竞价，但电子限时竞价中无竞买人报价的，以电子挂牌交易截止时报价最高且报价不低于起始价者为成交候选人。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八</w:t>
      </w:r>
      <w:r>
        <w:rPr>
          <w:rFonts w:hint="eastAsia" w:ascii="仿宋" w:hAnsi="仿宋" w:eastAsia="仿宋" w:cs="仿宋"/>
          <w:sz w:val="32"/>
          <w:szCs w:val="32"/>
        </w:rPr>
        <w:t>）公布交易结果</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委托人确定竞得人后，由交易中心通过电子交易系统发布交易结果。</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九</w:t>
      </w:r>
      <w:r>
        <w:rPr>
          <w:rFonts w:hint="eastAsia" w:ascii="仿宋" w:hAnsi="仿宋" w:eastAsia="仿宋" w:cs="仿宋"/>
          <w:sz w:val="32"/>
          <w:szCs w:val="32"/>
        </w:rPr>
        <w:t>）签订成交确认书和交易合同</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六、系统操作</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电子交易系统竞买人操作视频可在交易中心电子交易系统下载。</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七、注意事项</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单独申请竞买的，竞买申请人为非本市注册登记的企业，在竞得土地后，必须于 2 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联合申请竞买的，联合竞买人在提交竞买申请材料时，须提交联合竞买申请书和协议，协议主要约定联合各方的权利和义务、参与竞买的代表人、联合各方的出资比例等。联合竞买申请人竞得土地后须于 2 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（四）《竞价结果通知书》对委托人和成交候选人具有法律效力，委托人改变网上挂牌结果的，或者成交候选人放弃竞得宗地的，应当承担相应法律责任。</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竞得人应按挂牌出让公告规定的时间与交易中心、委托人签订成交确认书，根据成交确认书约定的时间与委托人签订出让合同，并按合同约定支付成交价款。</w:t>
      </w:r>
      <w:bookmarkStart w:id="0" w:name="_GoBack"/>
      <w:bookmarkEnd w:id="0"/>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委托</w:t>
      </w:r>
      <w:r>
        <w:rPr>
          <w:rFonts w:hint="eastAsia" w:ascii="仿宋" w:hAnsi="仿宋" w:eastAsia="仿宋" w:cs="仿宋"/>
          <w:color w:val="auto"/>
          <w:sz w:val="32"/>
          <w:szCs w:val="32"/>
          <w:highlight w:val="none"/>
          <w:lang w:eastAsia="zh-CN"/>
        </w:rPr>
        <w:t>人</w:t>
      </w:r>
      <w:r>
        <w:rPr>
          <w:rFonts w:hint="eastAsia" w:ascii="仿宋" w:hAnsi="仿宋" w:eastAsia="仿宋" w:cs="仿宋"/>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竞买</w:t>
      </w:r>
      <w:r>
        <w:rPr>
          <w:rFonts w:hint="eastAsia" w:ascii="仿宋" w:hAnsi="仿宋" w:eastAsia="仿宋" w:cs="仿宋"/>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竞价</w:t>
      </w:r>
      <w:r>
        <w:rPr>
          <w:rFonts w:hint="eastAsia" w:ascii="仿宋" w:hAnsi="仿宋" w:eastAsia="仿宋" w:cs="仿宋"/>
          <w:color w:val="auto"/>
          <w:sz w:val="32"/>
          <w:szCs w:val="32"/>
          <w:highlight w:val="none"/>
        </w:rPr>
        <w:t>结果通知书；</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、保证金转账凭证。</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1、电子交易系统受到黑客、病毒恶意攻击的；</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6、依法应当暂停、中止或终止交易的其他情形。</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（十一）挂牌出让公告、竞买须知及相关交易文件需要修改、补充时，将通过原挂牌出让公告发布渠道公告，不作另行通知。</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（十二）本须知及挂牌出让公告涉及的时间期限，以电子交易系统服务器的时间为准。</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（十三）本《竞买须知》的最终解释权归交易中心所有。未尽事宜依照《招标拍卖挂牌出让国有土地使用权规范》办理。</w:t>
      </w:r>
    </w:p>
    <w:p>
      <w:pPr>
        <w:pStyle w:val="5"/>
        <w:keepNext w:val="0"/>
        <w:keepLines w:val="0"/>
        <w:widowControl/>
        <w:suppressLineNumbers w:val="0"/>
        <w:spacing w:before="75" w:beforeAutospacing="0" w:after="75" w:afterAutospacing="0"/>
        <w:ind w:left="0" w:right="0" w:firstLine="645"/>
        <w:jc w:val="center"/>
        <w:rPr>
          <w:rFonts w:hint="eastAsia" w:ascii="仿宋" w:hAnsi="仿宋" w:eastAsia="仿宋" w:cs="仿宋"/>
          <w:sz w:val="32"/>
          <w:szCs w:val="32"/>
        </w:rPr>
      </w:pPr>
      <w:r>
        <w:rPr>
          <w:rFonts w:hint="eastAsia" w:ascii="仿宋" w:hAnsi="仿宋" w:eastAsia="仿宋" w:cs="仿宋"/>
          <w:sz w:val="32"/>
          <w:szCs w:val="32"/>
        </w:rPr>
        <w:t> </w:t>
      </w:r>
    </w:p>
    <w:p>
      <w:pPr>
        <w:pStyle w:val="5"/>
        <w:keepNext w:val="0"/>
        <w:keepLines w:val="0"/>
        <w:widowControl/>
        <w:suppressLineNumbers w:val="0"/>
        <w:spacing w:before="75" w:beforeAutospacing="0" w:after="75" w:afterAutospacing="0"/>
        <w:ind w:left="0" w:right="0" w:firstLine="645"/>
        <w:jc w:val="center"/>
        <w:rPr>
          <w:rFonts w:hint="eastAsia" w:ascii="仿宋" w:hAnsi="仿宋" w:eastAsia="仿宋" w:cs="仿宋"/>
          <w:sz w:val="32"/>
          <w:szCs w:val="32"/>
        </w:rPr>
      </w:pPr>
      <w:r>
        <w:rPr>
          <w:rFonts w:hint="eastAsia" w:ascii="仿宋" w:hAnsi="仿宋" w:eastAsia="仿宋" w:cs="仿宋"/>
          <w:sz w:val="32"/>
          <w:szCs w:val="32"/>
        </w:rPr>
        <w:t>                      </w:t>
      </w:r>
    </w:p>
    <w:p>
      <w:pPr>
        <w:pStyle w:val="5"/>
        <w:keepNext w:val="0"/>
        <w:keepLines w:val="0"/>
        <w:widowControl/>
        <w:suppressLineNumbers w:val="0"/>
        <w:spacing w:before="75" w:beforeAutospacing="0" w:after="75" w:afterAutospacing="0"/>
        <w:ind w:left="0" w:right="0" w:firstLine="645"/>
        <w:jc w:val="center"/>
        <w:rPr>
          <w:rFonts w:hint="eastAsia" w:ascii="仿宋" w:hAnsi="仿宋" w:eastAsia="仿宋" w:cs="仿宋"/>
          <w:sz w:val="32"/>
          <w:szCs w:val="32"/>
        </w:rPr>
      </w:pPr>
      <w:r>
        <w:rPr>
          <w:rFonts w:hint="eastAsia" w:ascii="仿宋" w:hAnsi="仿宋" w:eastAsia="仿宋" w:cs="仿宋"/>
          <w:sz w:val="32"/>
          <w:szCs w:val="32"/>
        </w:rPr>
        <w:t>               惠州市公共资源交易中心</w:t>
      </w:r>
    </w:p>
    <w:p>
      <w:pPr>
        <w:pStyle w:val="5"/>
        <w:keepNext w:val="0"/>
        <w:keepLines w:val="0"/>
        <w:widowControl/>
        <w:suppressLineNumbers w:val="0"/>
        <w:spacing w:before="75" w:beforeAutospacing="0" w:after="75" w:afterAutospacing="0"/>
        <w:ind w:left="0" w:right="0" w:firstLine="645"/>
        <w:jc w:val="center"/>
        <w:rPr>
          <w:rFonts w:hint="eastAsia" w:ascii="仿宋" w:hAnsi="仿宋" w:eastAsia="仿宋" w:cs="仿宋"/>
          <w:color w:val="auto"/>
          <w:sz w:val="32"/>
          <w:szCs w:val="32"/>
        </w:rPr>
      </w:pPr>
      <w:r>
        <w:rPr>
          <w:rFonts w:hint="eastAsia" w:ascii="仿宋" w:hAnsi="仿宋" w:eastAsia="仿宋" w:cs="仿宋"/>
          <w:sz w:val="32"/>
          <w:szCs w:val="32"/>
        </w:rPr>
        <w:t>                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w:t>
      </w: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3905CF8"/>
    <w:rsid w:val="04622C4A"/>
    <w:rsid w:val="06594FBB"/>
    <w:rsid w:val="066E2EB3"/>
    <w:rsid w:val="08377625"/>
    <w:rsid w:val="085546F2"/>
    <w:rsid w:val="0A3515BF"/>
    <w:rsid w:val="0C6577BA"/>
    <w:rsid w:val="0CB544B0"/>
    <w:rsid w:val="123A4835"/>
    <w:rsid w:val="13F64E65"/>
    <w:rsid w:val="154D7E92"/>
    <w:rsid w:val="16A71418"/>
    <w:rsid w:val="1AC62B22"/>
    <w:rsid w:val="1BF66C79"/>
    <w:rsid w:val="1CCB74AC"/>
    <w:rsid w:val="1D526FDB"/>
    <w:rsid w:val="1E771830"/>
    <w:rsid w:val="2106242D"/>
    <w:rsid w:val="23D765FB"/>
    <w:rsid w:val="26692359"/>
    <w:rsid w:val="26C93D5C"/>
    <w:rsid w:val="27815E86"/>
    <w:rsid w:val="29265862"/>
    <w:rsid w:val="29426D34"/>
    <w:rsid w:val="2A8015A9"/>
    <w:rsid w:val="2AEE0420"/>
    <w:rsid w:val="2C5D301B"/>
    <w:rsid w:val="2D2A53F5"/>
    <w:rsid w:val="2DB9508B"/>
    <w:rsid w:val="2E834821"/>
    <w:rsid w:val="2EEB2828"/>
    <w:rsid w:val="3319506B"/>
    <w:rsid w:val="336C5E12"/>
    <w:rsid w:val="35E2234D"/>
    <w:rsid w:val="36BB58C2"/>
    <w:rsid w:val="37FD4E36"/>
    <w:rsid w:val="3A2F5F21"/>
    <w:rsid w:val="3C2B6AEB"/>
    <w:rsid w:val="3D7B46F7"/>
    <w:rsid w:val="401C13CE"/>
    <w:rsid w:val="424A6D2D"/>
    <w:rsid w:val="459726C4"/>
    <w:rsid w:val="46124CFE"/>
    <w:rsid w:val="48E1183F"/>
    <w:rsid w:val="49C30460"/>
    <w:rsid w:val="4BEB5C94"/>
    <w:rsid w:val="4E2B1EB6"/>
    <w:rsid w:val="4EA90876"/>
    <w:rsid w:val="4F562A55"/>
    <w:rsid w:val="50C12FDB"/>
    <w:rsid w:val="55083DFC"/>
    <w:rsid w:val="5749741B"/>
    <w:rsid w:val="58E72C75"/>
    <w:rsid w:val="5DE303A8"/>
    <w:rsid w:val="5E0D69D2"/>
    <w:rsid w:val="5EC77216"/>
    <w:rsid w:val="5F2C5B50"/>
    <w:rsid w:val="5F350507"/>
    <w:rsid w:val="61C50DBD"/>
    <w:rsid w:val="635546A8"/>
    <w:rsid w:val="63644431"/>
    <w:rsid w:val="664F245B"/>
    <w:rsid w:val="699C5CE0"/>
    <w:rsid w:val="6AE25807"/>
    <w:rsid w:val="6CC05009"/>
    <w:rsid w:val="6CD42890"/>
    <w:rsid w:val="70704C32"/>
    <w:rsid w:val="717528BB"/>
    <w:rsid w:val="71AB432A"/>
    <w:rsid w:val="732E70C4"/>
    <w:rsid w:val="73C66915"/>
    <w:rsid w:val="74F66FDF"/>
    <w:rsid w:val="757731E0"/>
    <w:rsid w:val="758D3297"/>
    <w:rsid w:val="79D51DC8"/>
    <w:rsid w:val="7A2A3540"/>
    <w:rsid w:val="7AA75EBD"/>
    <w:rsid w:val="7B5165B6"/>
    <w:rsid w:val="7BA42F32"/>
    <w:rsid w:val="7BC75280"/>
    <w:rsid w:val="7C211CE1"/>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Administrator</cp:lastModifiedBy>
  <cp:lastPrinted>2026-04-30T07:23:43Z</cp:lastPrinted>
  <dcterms:modified xsi:type="dcterms:W3CDTF">2026-04-30T07:37:52Z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107D51913E774016A6297EC4B700C194</vt:lpwstr>
  </property>
</Properties>
</file>