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010</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default" w:ascii="仿宋" w:hAnsi="仿宋" w:eastAsia="仿宋" w:cs="仿宋"/>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》，在竞得人按约定办理完新公司注册登记手续后，再与新公司签订《国有建设用地使用权出让合同变更协议》；也可按约定直接与新公司签订《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default" w:ascii="仿宋" w:hAnsi="仿宋" w:eastAsia="仿宋" w:cs="仿宋"/>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》，在竞得人按约定办理完新公司注册登记手续后，再与新公司签订《国有建设用地使用权出让合同变更协议》；也可按约定直接与新公司签订《</w:t>
      </w:r>
      <w:r>
        <w:rPr>
          <w:rFonts w:hint="default" w:ascii="仿宋" w:hAnsi="仿宋" w:eastAsia="仿宋" w:cs="仿宋"/>
          <w:color w:val="auto"/>
          <w:sz w:val="32"/>
          <w:szCs w:val="32"/>
        </w:rPr>
        <w:t>国有建设用地使用权出让合同</w:t>
      </w:r>
      <w:r>
        <w:rPr>
          <w:rFonts w:hint="default" w:ascii="仿宋" w:hAnsi="仿宋" w:eastAsia="仿宋" w:cs="仿宋"/>
          <w:color w:val="auto"/>
          <w:sz w:val="32"/>
          <w:szCs w:val="32"/>
          <w:lang w:val="en-US" w:eastAsia="zh-CN"/>
        </w:rPr>
        <w:t>》，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委托</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竞价</w:t>
      </w:r>
      <w:r>
        <w:rPr>
          <w:rFonts w:hint="eastAsia" w:ascii="仿宋" w:hAnsi="仿宋" w:eastAsia="仿宋" w:cs="仿宋"/>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w:t>
      </w:r>
      <w:r>
        <w:rPr>
          <w:rFonts w:hint="eastAsia" w:ascii="仿宋" w:hAnsi="仿宋" w:eastAsia="仿宋" w:cs="仿宋"/>
          <w:color w:val="auto"/>
          <w:sz w:val="32"/>
          <w:szCs w:val="32"/>
          <w:lang w:eastAsia="zh-CN"/>
        </w:rPr>
        <w:t>（试行）</w:t>
      </w:r>
      <w:r>
        <w:rPr>
          <w:rFonts w:hint="eastAsia" w:ascii="仿宋" w:hAnsi="仿宋" w:eastAsia="仿宋" w:cs="仿宋"/>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7</w:t>
      </w:r>
      <w:bookmarkStart w:id="0" w:name="_GoBack"/>
      <w:bookmarkEnd w:id="0"/>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16A71418"/>
    <w:rsid w:val="2AEE0420"/>
    <w:rsid w:val="2C5D301B"/>
    <w:rsid w:val="699C5CE0"/>
    <w:rsid w:val="71AB432A"/>
    <w:rsid w:val="74F66FDF"/>
    <w:rsid w:val="7B516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2024-08-07T08:50:54Z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