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有关宗地的电子挂牌出让公告等相关信息通过中国土地市场网、广东省公共资源交易平台和电子交易系统等</w:t>
      </w:r>
      <w:r>
        <w:rPr>
          <w:rFonts w:hint="eastAsia" w:ascii="Times New Roman" w:hAnsi="Times New Roman" w:eastAsia="仿宋" w:cs="Times New Roman"/>
          <w:sz w:val="32"/>
          <w:szCs w:val="32"/>
          <w:lang w:val="en-US" w:eastAsia="zh-CN"/>
        </w:rPr>
        <w:t>媒介</w:t>
      </w:r>
      <w:r>
        <w:rPr>
          <w:rFonts w:hint="default" w:ascii="Times New Roman" w:hAnsi="Times New Roman" w:eastAsia="仿宋_GB2312" w:cs="Times New Roman"/>
          <w:b w:val="0"/>
          <w:bCs w:val="0"/>
          <w:color w:val="auto"/>
          <w:sz w:val="32"/>
          <w:szCs w:val="32"/>
          <w:highlight w:val="none"/>
        </w:rPr>
        <w:t>及</w:t>
      </w:r>
      <w:r>
        <w:rPr>
          <w:rFonts w:hint="eastAsia" w:ascii="Times New Roman" w:hAnsi="Times New Roman" w:eastAsia="仿宋_GB2312" w:cs="Times New Roman"/>
          <w:b w:val="0"/>
          <w:bCs w:val="0"/>
          <w:color w:val="auto"/>
          <w:sz w:val="32"/>
          <w:szCs w:val="32"/>
          <w:highlight w:val="none"/>
          <w:lang w:val="en-US" w:eastAsia="zh-CN"/>
        </w:rPr>
        <w:t>交易</w:t>
      </w:r>
      <w:r>
        <w:rPr>
          <w:rFonts w:hint="default" w:ascii="Times New Roman" w:hAnsi="Times New Roman" w:eastAsia="仿宋_GB2312" w:cs="Times New Roman"/>
          <w:b w:val="0"/>
          <w:bCs w:val="0"/>
          <w:color w:val="auto"/>
          <w:sz w:val="32"/>
          <w:szCs w:val="32"/>
          <w:highlight w:val="none"/>
        </w:rPr>
        <w:t>场所发布</w:t>
      </w:r>
      <w:r>
        <w:rPr>
          <w:rFonts w:hint="default" w:ascii="Times New Roman" w:hAnsi="Times New Roman" w:eastAsia="仿宋" w:cs="Times New Roman"/>
          <w:sz w:val="32"/>
          <w:szCs w:val="32"/>
        </w:rPr>
        <w:t>。</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5、建设用地规划设计条件；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单独申请竞买的，竞买申请人为非本市注册登记的企业，在竞得土地后，必须于 2 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联合申请竞买的，联合竞买人在提交竞买申请材料时，须提交联合竞买申请书和协议，协议主要约定联合各方的权利和义务、参与竞买的代表人、联合各方的出资比例等。联合竞买申请人竞得土地后须于 2 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pStyle w:val="5"/>
        <w:keepNext w:val="0"/>
        <w:keepLines w:val="0"/>
        <w:widowControl/>
        <w:suppressLineNumbers w:val="0"/>
        <w:spacing w:before="75" w:beforeAutospacing="0" w:after="75" w:afterAutospacing="0"/>
        <w:ind w:left="0" w:right="0"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10</w:t>
      </w:r>
      <w:bookmarkStart w:id="0" w:name="_GoBack"/>
      <w:bookmarkEnd w:id="0"/>
      <w:r>
        <w:rPr>
          <w:rFonts w:hint="default" w:ascii="Times New Roman" w:hAnsi="Times New Roman" w:eastAsia="仿宋" w:cs="Times New Roman"/>
          <w:sz w:val="32"/>
          <w:szCs w:val="32"/>
        </w:rPr>
        <w:t>日</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3905CF8"/>
    <w:rsid w:val="04622C4A"/>
    <w:rsid w:val="06594FBB"/>
    <w:rsid w:val="08377625"/>
    <w:rsid w:val="0A3515BF"/>
    <w:rsid w:val="0CB544B0"/>
    <w:rsid w:val="123A4835"/>
    <w:rsid w:val="13F64E65"/>
    <w:rsid w:val="154D7E92"/>
    <w:rsid w:val="16A71418"/>
    <w:rsid w:val="1AC62B22"/>
    <w:rsid w:val="1CCB74AC"/>
    <w:rsid w:val="1D526FDB"/>
    <w:rsid w:val="1E771830"/>
    <w:rsid w:val="2106242D"/>
    <w:rsid w:val="23D765FB"/>
    <w:rsid w:val="26692359"/>
    <w:rsid w:val="26C93D5C"/>
    <w:rsid w:val="27815E86"/>
    <w:rsid w:val="29265862"/>
    <w:rsid w:val="29426D34"/>
    <w:rsid w:val="2AEE0420"/>
    <w:rsid w:val="2C5D301B"/>
    <w:rsid w:val="2D2A53F5"/>
    <w:rsid w:val="2E834821"/>
    <w:rsid w:val="2EEB2828"/>
    <w:rsid w:val="3319506B"/>
    <w:rsid w:val="35E2234D"/>
    <w:rsid w:val="36BB58C2"/>
    <w:rsid w:val="37FD4E36"/>
    <w:rsid w:val="3A2F5F21"/>
    <w:rsid w:val="3C2B6AEB"/>
    <w:rsid w:val="3D7B46F7"/>
    <w:rsid w:val="49C30460"/>
    <w:rsid w:val="4BEB5C94"/>
    <w:rsid w:val="4EA90876"/>
    <w:rsid w:val="50C12FDB"/>
    <w:rsid w:val="55083DFC"/>
    <w:rsid w:val="5749741B"/>
    <w:rsid w:val="635546A8"/>
    <w:rsid w:val="664F245B"/>
    <w:rsid w:val="699C5CE0"/>
    <w:rsid w:val="6AE25807"/>
    <w:rsid w:val="70704C32"/>
    <w:rsid w:val="717528BB"/>
    <w:rsid w:val="71AB432A"/>
    <w:rsid w:val="73C66915"/>
    <w:rsid w:val="74F66FDF"/>
    <w:rsid w:val="757731E0"/>
    <w:rsid w:val="758D3297"/>
    <w:rsid w:val="79D51DC8"/>
    <w:rsid w:val="7A2A3540"/>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cp:lastPrinted>2025-04-06T08:14:00Z</cp:lastPrinted>
  <dcterms:modified xsi:type="dcterms:W3CDTF">2025-07-11T06:46:33Z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757A8A92009343DDBE3D5094D408497A</vt:lpwstr>
  </property>
</Properties>
</file>