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惠州市国有建设用地使用权网上挂牌</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出让竞买须知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惠公易土市直[</w:t>
      </w:r>
      <w:r>
        <w:rPr>
          <w:rFonts w:hint="default" w:ascii="Times New Roman" w:hAnsi="Times New Roman" w:eastAsia="仿宋" w:cs="Times New Roman"/>
          <w:color w:val="auto"/>
          <w:sz w:val="32"/>
          <w:szCs w:val="32"/>
          <w:lang w:val="en-US" w:eastAsia="zh-CN"/>
        </w:rPr>
        <w:t>2025</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003</w:t>
      </w:r>
      <w:r>
        <w:rPr>
          <w:rFonts w:hint="default" w:ascii="Times New Roman" w:hAnsi="Times New Roman" w:eastAsia="仿宋" w:cs="Times New Roman"/>
          <w:color w:val="auto"/>
          <w:sz w:val="32"/>
          <w:szCs w:val="32"/>
        </w:rPr>
        <w:t>号</w:t>
      </w:r>
    </w:p>
    <w:p>
      <w:pPr>
        <w:ind w:firstLine="640" w:firstLineChars="200"/>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惠州市国有建设用地使用权网上挂牌出让竞买须知》（以下简称“竞买须知”）是具备法律约束力的重要文件，竞买人须详细阅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三、中华人民共和国境内外的法人</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自然人</w:t>
      </w:r>
      <w:r>
        <w:rPr>
          <w:rFonts w:hint="default" w:ascii="Times New Roman" w:hAnsi="Times New Roman" w:eastAsia="仿宋" w:cs="Times New Roman"/>
          <w:color w:val="auto"/>
          <w:sz w:val="32"/>
          <w:szCs w:val="32"/>
        </w:rPr>
        <w:t>和其他</w:t>
      </w:r>
      <w:r>
        <w:rPr>
          <w:rFonts w:hint="default" w:ascii="Times New Roman" w:hAnsi="Times New Roman" w:eastAsia="仿宋" w:cs="Times New Roman"/>
          <w:color w:val="auto"/>
          <w:sz w:val="32"/>
          <w:szCs w:val="32"/>
          <w:lang w:val="en-US" w:eastAsia="zh-CN"/>
        </w:rPr>
        <w:t>经济</w:t>
      </w:r>
      <w:r>
        <w:rPr>
          <w:rFonts w:hint="default" w:ascii="Times New Roman" w:hAnsi="Times New Roman" w:eastAsia="仿宋" w:cs="Times New Roman"/>
          <w:color w:val="auto"/>
          <w:sz w:val="32"/>
          <w:szCs w:val="32"/>
        </w:rPr>
        <w:t>组织（除法律法规另有规定外），符合竞买资格的，均可通过电子交易系统，申请参加电子挂牌交易活动。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惠州市市本级国有建设用地使用权网上挂牌出让公告（以下简称“挂牌出让公告”）对竞买资格有特别要求的，以挂牌出让公告为准。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四、申请人对网上挂牌出让文件有疑问的，可在网上挂牌活动开始前以书面或者口头方式向惠州市公共资源交易中心（以下简称“交易中心”）咨询。有意竞买者可自行踏勘现场（可在电子交易系统查阅位置图和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有关宗地的电子挂牌出让公告等相关信息通过交易大厅的电子显示屏、中国土地市场网、广东省公共资源交易平台和电子交易系统等媒介同步发布。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有意竞买者可登录电子交易系统网站(https://tdky.hzggzyjy.cn/)查询。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申请人可在电子交易系统浏览和下载本宗地网上挂牌出让文件，具体包括：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1、惠州市市本级国有建设用地使用权网上挂牌出让公告；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2、惠州市国有建设用地使用权网上挂牌出让竞买须知；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3、挂牌出让地块现状图；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4、建设用地红线界限图；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w:t>
      </w:r>
      <w:r>
        <w:rPr>
          <w:rFonts w:hint="default" w:ascii="Times New Roman" w:hAnsi="Times New Roman" w:eastAsia="仿宋" w:cs="Times New Roman"/>
          <w:color w:val="auto"/>
          <w:sz w:val="32"/>
          <w:szCs w:val="32"/>
          <w:lang w:val="en-US" w:eastAsia="zh-CN"/>
        </w:rPr>
        <w:t>建设用地</w:t>
      </w:r>
      <w:r>
        <w:rPr>
          <w:rFonts w:hint="default" w:ascii="Times New Roman" w:hAnsi="Times New Roman" w:eastAsia="仿宋" w:cs="Times New Roman"/>
          <w:color w:val="auto"/>
          <w:sz w:val="32"/>
          <w:szCs w:val="32"/>
        </w:rPr>
        <w:t>规划设计条件；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6、国有建设用地使用权网上挂牌成交确认书（样本）；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7、国有建设用地使用权出让合同（样本）；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8、其他相关文件。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1、本宗国有建设用地使用权网上挂牌出让只能在互联网上，通过电子交易系统进行。只有通过网上注册、办理数字证书、按要求足额交付竞买保证金的申请人，才能参加网上挂牌交易活动。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数字证书的办理流程详见电子交易系统上的《数字证书办理指南》。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（四）申请竞买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各宗国有建设用地使用权对应的竞买保证金。竞买保证金交纳截止时间以挂牌出让公告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2、竞买人应当提前交纳竞买保证金，以确保竞买保证金在到账截止时间前到账，超过到账截止时间到账的竞买保证金，电子交易系统将不予受理，造成的损失由竞买人自行承担。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3、跨地区或跨行转账的竞买人，需预足资金的在途时间，以免影响竞买人及时取得竞买报价权限。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4、竞买保证金到账时间以电子交易系统确认并发出《竞买保证金到账通知书》为准。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5、竞买保证金开户单位：惠州市公共资源交易中心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竞买保证金账号：电子交易系统随机产生竞买保证金支付账号。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开户银行：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（1）中国建设银行惠州广场支行；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（2）中国银行惠州分行；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（3）中国工商银行股份有限公司惠州富力国际中心支行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（4）中国农业银行惠州分行；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（5）广发银行惠州江北支行；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（6）交通银行惠州分行；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（7）惠州市农村商业银行股份有限公司惠城支行；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（8）上海浦东发展银行股份有限公司惠州分行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（9）中国民生银行股份有限公司惠州分行；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(10）中信银行股份有限公司惠州分行。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6、申请人应根据电子交易系统生成的随机保证金账号按时足额交纳竞买保证金，在电子交易系统确认竞买保证金按时足额到账之后，竞买人将被赋予对应宗地的竞买报价权限。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1、竞买人通过电子交易系统进行报价。电子报价和电子限时竞价按以下规则进行：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2、竞买人应当谨慎报价，报价一经提交并经电子交易系统确认为有效报价，不可撤回。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电子限时竞价是指在挂牌出让公告规定的电子挂牌交易期限截止时，有2个以上的竞买人报价，且经电子交易系统询问，5分钟内限时决定是否愿意继续报价,有竞买人愿意继续报价的，电子交易系统以高于当前最高报价一个增价幅度的价格为起始价，电子交易系统开始第一次5分钟倒计时限时报价，如在5分钟内的任一时点有新的有效报价，电子交易系统即从此时点起重新计算5分钟的限时报价时间，供竞买人作新一轮报价，并按此方式不断顺延下去,直至5分钟限时报价时间内没有新的有效报价，电子交易系统将自动关闭报价通道，确认当前最高报价为最终报价，电子交易系统即时显示电子挂牌竞价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竞买人应当在电子挂牌交易期限截止前登录电子交易系统，密切关注交易动态。竞买人应当在电子挂牌交易期限截止后5分钟内做出是否参加电子限时竞价的决定并提交电子交易系统，超过5分钟未提交的，电子交易系统默认该竞买人参加电子限时竞价活动，但在电子挂牌交易期限截止前未进行至少一次有效报价的竞买人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1、在电子挂牌交易期限内只有1个竞买人报价，且报价不低于起始价的，则该报价者为成交候选人；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2、电子挂牌交易期限内有2个以上的竞买人报价，经电子交易系统询问，无竞买人愿意参加电子限时竞价的，以当前报价最高且报价不低于起始价者为成交候选人；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3、电子挂牌交易期限内无报价的，挂牌不成交；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4、进入电子限时竞价，电子限时竞价中报价最高且报价不低于起始价者为成交候选人；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5、进入电子限时竞价，但电子限时竞价中无竞买人报价的，以电子挂牌交易截止时报价最高且报价不低于起始价者为成交候选人。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本宗国有建设用地使用权网上挂牌出让实行竞买资格后置审查。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电子挂牌交易结束后，电子挂牌竞价结果即时通过电子交易系统发布。成交候选人应当在电子挂牌竞价结果公布后，按挂牌出让公告及竞买须知的要求将相关资料提交至委托人，由委托人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委托人确定竞得人后，由交易中心通过电子交易系统发布交易结果。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确定竞得人后，竞得人按挂牌出让公告规定的时间与委托人、交易中心签订《国有建设用地使用权网上挂牌成交确认书》（以下简称“成交确认书”），竞得人根据成交确认书约定的时间与委托人签订交易合同。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六、系统操作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电子交易系统竞买人操作视频可在交易中心电子交易系统下载。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七、注意事项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竞买人对有关承诺承担法律责任。</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highlight w:val="none"/>
          <w:u w:val="none"/>
          <w:lang w:val="en-US" w:eastAsia="zh-CN"/>
        </w:rPr>
      </w:pPr>
      <w:r>
        <w:rPr>
          <w:rFonts w:hint="default" w:ascii="Times New Roman" w:hAnsi="Times New Roman" w:eastAsia="仿宋" w:cs="Times New Roman"/>
          <w:b w:val="0"/>
          <w:bCs w:val="0"/>
          <w:color w:val="auto"/>
          <w:sz w:val="32"/>
          <w:szCs w:val="32"/>
          <w:highlight w:val="none"/>
          <w:u w:val="none"/>
          <w:lang w:eastAsia="zh-CN"/>
        </w:rPr>
        <w:t>1、单独申请竞买的，竞买申请人为非本市注册登记的企业，在竞得土地后，必须于2个月内在本市市场监管部门注册成立项目开发公司，并以该公司名义办理土地出让与登记发证手续。项目开发公司必须是竞得人的全资子公司，即竞得人必须持有项目开发公司100%的股权（份）。根据挂牌出让结果，竞得人可先与出让人签订《国有建设用地使用权出让合同》（以下简称“出让合同”），在竞得人按约定办理完项目开发公司注册登记手续后，项目开发公司再与出让人签订出让合同补充条款；也可按约定直接与项目开发公司签订出让合同。</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highlight w:val="none"/>
          <w:u w:val="none"/>
          <w:lang w:eastAsia="zh-CN"/>
        </w:rPr>
      </w:pPr>
      <w:r>
        <w:rPr>
          <w:rFonts w:hint="default" w:ascii="Times New Roman" w:hAnsi="Times New Roman" w:eastAsia="仿宋" w:cs="Times New Roman"/>
          <w:b w:val="0"/>
          <w:bCs w:val="0"/>
          <w:color w:val="auto"/>
          <w:sz w:val="32"/>
          <w:szCs w:val="32"/>
          <w:highlight w:val="none"/>
          <w:u w:val="none"/>
          <w:lang w:val="en-US" w:eastAsia="zh-CN"/>
        </w:rPr>
        <w:t>2、联合申请竞买的，联合竞买人在提交竞买申请材料时，须提交联合竞买申请书和协议，协议主要约定联合各方的权利和义务、参与竞买的代表人、联合各方的出资比例等。联合竞买申请人竞得土地后须于2个月内在本市市场监管部门按照申请书申报的出资人及出资比例设立项目开发公司。根据挂牌出让结果，竞得人可先与出让人签订出让合同，在竞得人按约定办理完项目开发公司注册登记手续后，项目开发公司再与出让人签订出让合同补充条款；也可按约定直接与项目开发公司签订出让合同，并以项目开发公司名义办理土地登记发证手续，但不能按联合申请人各自出资比例分割办证。如对联合竞买申请人的开发资质条件有明确要求的，在审查联合竞买申请人资质时，以联合体内资质最低一方的资质作为联合体的竞买资格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（四）《竞价结果通知书》对委托人和成交候选人具有法律效力，委托人改变网上挂牌结果的，或者成交候选人放弃竞得宗地的，应当承担相应法律责任。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竞得人应按挂牌出让公告规定的时间与交易中心、委托人签订成交确认书，根据成交确认书约定的时间与委托人签订出让合同，并按合同约定支付成交价款。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五）交易中心受托提供代收代退竞买保证金服务，未竞得人缴纳的竞买保证金（以人民币缴纳的竞买保证金）将于电子挂牌交易活动结束之日起5个工作日内通过网上退还的形式原路退还保证金，不计利息。未竞得人以外币缴纳竞买保证金的，未竞得人应于电子挂牌交易活动结束之日起5个工作日内带齐相关资料（《竞价结果通知书》、《竞买保证金到账通知书》、保证金转账凭证等）到交易中心退还保证金，退还的保证金不计利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竞得人交纳的竞买保证金转付成交价款，办理转付成交价款手续应带齐如下相关资料：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1、惠州市非税收入缴款通知；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2、竞买保证金到账通知书；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3、竞价结果通知书；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4、保证金转账凭证。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六）为避免网络延迟问题，竞买人首次报价应在网上挂牌截止前10分钟提交，以防止电子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七）交易期间的电子交易系统服务器实行封闭管理。发生下列情形之一的，交易中心需暂停、中止或终止交易活动，并及时将相关情况报政府有关行政主管部门处理，在公共资源交易平台网上予以公告。委托人待问题排查、清除后，依法重新组织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（九）竞得人与委托人签订出让合同后，应当按出让合同约定支付网上挂牌成交价款。竞得人付清全部成交价款后，依法申请办理土地登记，领取《不动产权证书》。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（十）网上挂牌不成交的，由委托人重新组织挂牌出让。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（十一）挂牌出让公告、竞买须知及相关交易文件需要修改、补充时，将通过原挂牌出让公告发布渠道公告，不作另行通知。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申请人应当及时关注该宗地的网上挂牌交易信息。交易中心发出的修改、补充公告，与挂牌出让公告、竞买须知及相关交易文件具有同等效力。若与挂牌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（十二）本须知及挂牌出让公告涉及的时间期限，以电子交易系统服务器的时间为准。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（十三）本《竞买须知》的最终解释权归交易中心所有。未尽事宜依照《招标拍卖挂牌出让国有土地使用权规范》办理。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仿宋"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 xml:space="preserve">                2025</w:t>
      </w:r>
      <w:r>
        <w:rPr>
          <w:rFonts w:hint="default" w:ascii="Times New Roman" w:hAnsi="Times New Roman" w:eastAsia="仿宋" w:cs="Times New Roman"/>
          <w:color w:val="auto"/>
          <w:sz w:val="32"/>
          <w:szCs w:val="32"/>
        </w:rPr>
        <w:t>年</w:t>
      </w:r>
      <w:r>
        <w:rPr>
          <w:rFonts w:hint="eastAsia"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月</w:t>
      </w:r>
      <w:r>
        <w:rPr>
          <w:rFonts w:hint="eastAsia" w:ascii="Times New Roman" w:hAnsi="Times New Roman" w:eastAsia="仿宋" w:cs="Times New Roman"/>
          <w:color w:val="auto"/>
          <w:sz w:val="32"/>
          <w:szCs w:val="32"/>
          <w:lang w:val="en-US" w:eastAsia="zh-CN"/>
        </w:rPr>
        <w:t>17</w:t>
      </w:r>
      <w:r>
        <w:rPr>
          <w:rFonts w:hint="default" w:ascii="Times New Roman" w:hAnsi="Times New Roman" w:eastAsia="仿宋" w:cs="Times New Roman"/>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color w:val="auto"/>
          <w:sz w:val="32"/>
          <w:szCs w:val="32"/>
        </w:rPr>
      </w:pP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C5CE0"/>
    <w:rsid w:val="00F37733"/>
    <w:rsid w:val="046161A6"/>
    <w:rsid w:val="06DC0CFD"/>
    <w:rsid w:val="0F88549D"/>
    <w:rsid w:val="13F64E65"/>
    <w:rsid w:val="16A71418"/>
    <w:rsid w:val="1AF9192D"/>
    <w:rsid w:val="1CCB74AC"/>
    <w:rsid w:val="201B09F7"/>
    <w:rsid w:val="23607014"/>
    <w:rsid w:val="244A5795"/>
    <w:rsid w:val="26C93D5C"/>
    <w:rsid w:val="2AEE0420"/>
    <w:rsid w:val="2C5D301B"/>
    <w:rsid w:val="3CE755F6"/>
    <w:rsid w:val="3EAA7B78"/>
    <w:rsid w:val="4CD82CA3"/>
    <w:rsid w:val="59FD5427"/>
    <w:rsid w:val="699C5CE0"/>
    <w:rsid w:val="6AC31CEA"/>
    <w:rsid w:val="6AE25807"/>
    <w:rsid w:val="6E090A6F"/>
    <w:rsid w:val="717C1C3E"/>
    <w:rsid w:val="71AB432A"/>
    <w:rsid w:val="71C5156A"/>
    <w:rsid w:val="74F66FDF"/>
    <w:rsid w:val="7B5165B6"/>
    <w:rsid w:val="7F2161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2024-07-03T01:45:00Z</dcterms:created>
  <dc:creator>叶舒</dc:creator>
  <cp:lastModifiedBy>叶舒</cp:lastModifiedBy>
  <cp:lastPrinted>2025-02-17T07:20:00Z</cp:lastPrinted>
  <dcterms:modified xsi:type="dcterms:W3CDTF">2025-02-18T01:25:30Z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F196C8BB6C8842768E03FDCACF2FA54D</vt:lpwstr>
  </property>
</Properties>
</file>