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惠州市国有建设用地使用权网上挂牌</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出让竞买须知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惠公易土市直[</w:t>
      </w:r>
      <w:r>
        <w:rPr>
          <w:rFonts w:hint="eastAsia" w:ascii="仿宋" w:hAnsi="仿宋" w:eastAsia="仿宋" w:cs="仿宋"/>
          <w:color w:val="auto"/>
          <w:sz w:val="32"/>
          <w:szCs w:val="32"/>
          <w:lang w:val="en-US" w:eastAsia="zh-CN"/>
        </w:rPr>
        <w:t>2024</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014</w:t>
      </w:r>
      <w:r>
        <w:rPr>
          <w:rFonts w:hint="eastAsia" w:ascii="仿宋" w:hAnsi="仿宋" w:eastAsia="仿宋" w:cs="仿宋"/>
          <w:color w:val="auto"/>
          <w:sz w:val="32"/>
          <w:szCs w:val="32"/>
        </w:rPr>
        <w:t>号</w:t>
      </w:r>
    </w:p>
    <w:p>
      <w:pPr>
        <w:ind w:firstLine="640" w:firstLineChars="200"/>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三、中华人民共和国境内外的法人和其他组织（除法律法规另有规定外），符合竞买资格的，均可通过电子交易系统，申请参加电子挂牌交易活动。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惠州市市本级国有建设用地使用权网上挂牌出让公告（以下简称“挂牌出让公告”）对竞买资格有特别要求的，以挂牌出让公告为准。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惠州市公共资源交易中心（以下简称“交易中心”）咨询。有意竞买者可自行踏勘现场（可在电子交易系统查阅位置图和现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有关宗地的电子挂牌出让公告等相关信息通过交易大厅的电子显示屏、中国土地市场网、广东省公共资源交易平台和电子交易系统等媒介同步发布。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有意竞买者可登录电子交易系统网站(https://tdky.hzggzyjy.cn/)查询。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申请人可在电子交易系统浏览和下载本宗地网上挂牌出让文件，具体包括：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1、惠州市市本级国有建设用地使用权网上挂牌出让公告；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2、惠州市国有建设用地使用权网上挂牌出让竞买须知；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3、挂牌出让地块现状图；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4、建设用地红线界限图；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color w:val="auto"/>
          <w:sz w:val="32"/>
          <w:szCs w:val="32"/>
          <w:lang w:val="en-US" w:eastAsia="zh-CN"/>
        </w:rPr>
        <w:t>建设用地</w:t>
      </w:r>
      <w:r>
        <w:rPr>
          <w:rFonts w:hint="eastAsia" w:ascii="仿宋" w:hAnsi="仿宋" w:eastAsia="仿宋" w:cs="仿宋"/>
          <w:color w:val="auto"/>
          <w:sz w:val="32"/>
          <w:szCs w:val="32"/>
        </w:rPr>
        <w:t>规划设计条件；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6、国有建设用地使用权网上挂牌成交确认书（样本）；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7、国有建设用地使用权出让合同（样本）；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8、其他相关文件。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1、本宗国有建设用地使用权网上挂牌出让只能在互联网上，通过电子交易系统进行。只有通过网上注册、办理数字证书、按要求足额交付竞买保证金的申请人，才能参加网上挂牌交易活动。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数字证书的办理流程详见电子交易系统上的《数字证书办理指南》。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（四）申请竞买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2、竞买人应当提前交纳竞买保证金，以确保竞买保证金在到账截止时间前到账，超过到账截止时间到账的竞买保证金，电子交易系统将不予受理，造成的损失由竞买人自行承担。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3、跨地区或跨行转账的竞买人，需预足资金的在途时间，以免影响竞买人及时取得竞买报价权限。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4、竞买保证金到账时间以电子交易系统确认并发出《竞买保证金到账通知书》为准。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5、竞买保证金开户单位：惠州市公共资源交易中心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竞买保证金账号：电子交易系统随机产生竞买保证金支付账号。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开户银行：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（1）中国建设银行惠州广场支行；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（2）中国银行惠州分行；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（3）中国工商银行股份有限公司惠州富力国际中心支行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（4）中国农业银行惠州分行；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（5）广发银行惠州江北支行；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（6）交通银行惠州分行；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（7）惠州市农村商业银行股份有限公司惠城支行；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（8）上海浦东发展银行股份有限公司惠州分行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（9）中国民生银行股份有限公司惠州分行；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(10）中信银行股份有限公司惠州分行。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6、申请人应根据电子交易系统生成的随机保证金账号按时足额交纳竞买保证金，在电子交易系统确认竞买保证金按时足额到账之后，竞买人将被赋予对应宗地的竞买报价权限。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1、竞买人通过电子交易系统进行报价。电子报价和电子限时竞价按以下规则进行：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2、竞买人应当谨慎报价，报价一经提交并经电子交易系统确认为有效报价，不可撤回。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电子限时竞价是指在挂牌出让公告规定的电子挂牌交易期限截止时，有2个以上的竞买人报价，且经电子交易系统询问，5分钟内限时决定是否愿意继续报价,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1、在电子挂牌交易期限内只有1个竞买人报价，且报价不低于起始价的，则该报价者为成交候选人；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2、电子挂牌交易期限内有2个以上的竞买人报价，经电子交易系统询问，无竞买人愿意参加电子限时竞价的，以当前报价最高且报价不低于起始价者为成交候选人；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3、电子挂牌交易期限内无报价的，挂牌不成交；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4、进入电子限时竞价，电子限时竞价中报价最高且报价不低于起始价者为成交候选人；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5、进入电子限时竞价，但电子限时竞价中无竞买人报价的，以电子挂牌交易截止时报价最高且报价不低于起始价者为成交候选人。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本宗国有建设用地使用权网上挂牌出让实行竞买资格后置审查。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挂牌交易结束后，电子挂牌竞价结果即时通过电子交易系统发布。成交候选人应当在电子挂牌竞价结果公布后，按挂牌出让公告及竞买须知的要求将相关资料提交至委托人，由委托人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委托人确定竞得人后，由交易中心通过电子交易系统发布交易结果。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六、系统操作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电子交易系统竞买人操作视频可在交易中心电子交易系统下载。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七、注意事项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竞买人对有关承诺承担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（二）</w:t>
      </w:r>
      <w:r>
        <w:rPr>
          <w:rFonts w:hint="default" w:ascii="仿宋" w:hAnsi="仿宋" w:eastAsia="仿宋" w:cs="仿宋"/>
          <w:color w:val="auto"/>
          <w:sz w:val="32"/>
          <w:szCs w:val="32"/>
          <w:lang w:val="en-US" w:eastAsia="zh-CN"/>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竞得人可先与出让人签订《国有建设用地使用权出让合同》，在竞得人按约定办理完新公司注册登记手续后，出让人再与新公司签订《国有建设用地使用权出让合同变更协议》；出让人也可按约定直接与新公司签订《国有建设用地使用权出让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（三）</w:t>
      </w:r>
      <w:r>
        <w:rPr>
          <w:rFonts w:hint="default" w:ascii="仿宋" w:hAnsi="仿宋" w:eastAsia="仿宋" w:cs="仿宋"/>
          <w:color w:val="auto"/>
          <w:sz w:val="32"/>
          <w:szCs w:val="32"/>
          <w:lang w:val="en-US" w:eastAsia="zh-CN"/>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竞得人可先与出让人签订《国有建设用地使用权出让合同》，在竞得人按约定办理完新公司注册登记手续后，出让人再与新公司签订《国有建设用地使用权出让合同变更协议》；出让人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（四）《竞价结果通知书》对委托人和成交候选人具有法律效力，委托人改变网上挂牌结果的，或者成交候选人放弃竞得宗地的，应当承担相应法律责任。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竞得人应按挂牌出让公告规定的时间与交易中心、委托人签订成交确认书，根据成交确认书约定的时间与委托人签订出让合同，并按合同约定支付成交价款。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价结果通知书》、《竞买保证金到账通知书》、保证金转账凭证等）到交易中心退还保证金，退还的保证金不计利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委托</w:t>
      </w:r>
      <w:r>
        <w:rPr>
          <w:rFonts w:hint="eastAsia" w:ascii="仿宋" w:hAnsi="仿宋" w:eastAsia="仿宋" w:cs="仿宋"/>
          <w:color w:val="auto"/>
          <w:sz w:val="32"/>
          <w:szCs w:val="32"/>
          <w:highlight w:val="none"/>
          <w:lang w:eastAsia="zh-CN"/>
        </w:rPr>
        <w:t>人</w:t>
      </w:r>
      <w:r>
        <w:rPr>
          <w:rFonts w:hint="eastAsia" w:ascii="仿宋" w:hAnsi="仿宋" w:eastAsia="仿宋" w:cs="仿宋"/>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竞买</w:t>
      </w:r>
      <w:r>
        <w:rPr>
          <w:rFonts w:hint="eastAsia" w:ascii="仿宋" w:hAnsi="仿宋" w:eastAsia="仿宋" w:cs="仿宋"/>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竞价</w:t>
      </w:r>
      <w:r>
        <w:rPr>
          <w:rFonts w:hint="eastAsia" w:ascii="仿宋" w:hAnsi="仿宋" w:eastAsia="仿宋" w:cs="仿宋"/>
          <w:color w:val="auto"/>
          <w:sz w:val="32"/>
          <w:szCs w:val="32"/>
          <w:highlight w:val="none"/>
        </w:rPr>
        <w:t>结果通知书；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、保证金转账凭证。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（九）竞得人与委托人签订出让合同后，应当按出让合同约定支付网上挂牌成交价款。竞得人付清全部成交价款后，依法申请办理土地登记，领取《不动产权证书》。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（十）网上挂牌不成交的，由委托人重新组织挂牌出让。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（十一）挂牌出让公告、竞买须知及相关交易文件需要修改、补充时，将通过原挂牌出让公告发布渠道公告，不作另行通知。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（十二）本须知及挂牌出让公告涉及的时间期限，以电子交易系统服务器的时间为准。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（十三）本《竞买须知》的最终解释权归交易中心所有。未尽事宜依照《招标拍卖挂牌出让国有土地使用权规范</w:t>
      </w:r>
      <w:r>
        <w:rPr>
          <w:rFonts w:hint="eastAsia" w:ascii="仿宋" w:hAnsi="仿宋" w:eastAsia="仿宋" w:cs="仿宋"/>
          <w:color w:val="auto"/>
          <w:sz w:val="32"/>
          <w:szCs w:val="32"/>
          <w:lang w:eastAsia="zh-CN"/>
        </w:rPr>
        <w:t>（试行）</w:t>
      </w:r>
      <w:bookmarkStart w:id="0" w:name="_GoBack"/>
      <w:bookmarkEnd w:id="0"/>
      <w:r>
        <w:rPr>
          <w:rFonts w:hint="eastAsia" w:ascii="仿宋" w:hAnsi="仿宋" w:eastAsia="仿宋" w:cs="仿宋"/>
          <w:color w:val="auto"/>
          <w:sz w:val="32"/>
          <w:szCs w:val="32"/>
        </w:rPr>
        <w:t>》办理。</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惠州市公共资源交易中心</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2024年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14日</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6594FBB"/>
    <w:rsid w:val="13F64E65"/>
    <w:rsid w:val="16A71418"/>
    <w:rsid w:val="1CCB74AC"/>
    <w:rsid w:val="26C93D5C"/>
    <w:rsid w:val="2AEE0420"/>
    <w:rsid w:val="2C5D301B"/>
    <w:rsid w:val="36BB58C2"/>
    <w:rsid w:val="4ABE5216"/>
    <w:rsid w:val="699C5CE0"/>
    <w:rsid w:val="6AE25807"/>
    <w:rsid w:val="71AB432A"/>
    <w:rsid w:val="74F66FDF"/>
    <w:rsid w:val="7B5165B6"/>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叶舒</cp:lastModifiedBy>
  <dcterms:modified xsi:type="dcterms:W3CDTF">2024-10-15T02:09:09Z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30A9035C090F47B7A3A298BD203B095D</vt:lpwstr>
  </property>
</Properties>
</file>