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惠州市国有建设用地使用权网上挂牌</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出让竞买须知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惠公易土市直[</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027</w:t>
      </w:r>
      <w:r>
        <w:rPr>
          <w:rFonts w:hint="eastAsia" w:ascii="仿宋" w:hAnsi="仿宋" w:eastAsia="仿宋" w:cs="仿宋"/>
          <w:color w:val="auto"/>
          <w:sz w:val="32"/>
          <w:szCs w:val="32"/>
        </w:rPr>
        <w:t>号</w:t>
      </w:r>
    </w:p>
    <w:p>
      <w:pPr>
        <w:ind w:firstLine="640" w:firstLineChars="200"/>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三、中华人民共和国境内外的法人和其他组织（除法律法规另有规定外），符合竞买资格的，均可通过电子交易系统，申请参加电子挂牌交易活动。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惠州市</w:t>
      </w:r>
      <w:r>
        <w:rPr>
          <w:rFonts w:hint="eastAsia" w:ascii="仿宋" w:hAnsi="仿宋" w:eastAsia="仿宋" w:cs="仿宋"/>
          <w:color w:val="auto"/>
          <w:sz w:val="32"/>
          <w:szCs w:val="32"/>
          <w:lang w:val="en-US" w:eastAsia="zh-CN"/>
        </w:rPr>
        <w:t>惠城区</w:t>
      </w:r>
      <w:bookmarkStart w:id="0" w:name="_GoBack"/>
      <w:bookmarkEnd w:id="0"/>
      <w:r>
        <w:rPr>
          <w:rFonts w:hint="eastAsia" w:ascii="仿宋" w:hAnsi="仿宋" w:eastAsia="仿宋" w:cs="仿宋"/>
          <w:color w:val="auto"/>
          <w:sz w:val="32"/>
          <w:szCs w:val="32"/>
        </w:rPr>
        <w:t>国有建设用地使用权网上挂牌出让公告（以下简称“挂牌出让公告”）对竞买资格有特别要求的，以挂牌出让公告为准。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以下简称“交易中心”）咨询。有意竞买者可自行踏勘现场（可在电子交易系统查阅位置图和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有关宗地的电子挂牌出让公告等相关信息通过交易大厅的电子显示屏、中国土地市场网、广东省公共资源交易平台和电子交易系统等媒介同步发布。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有意竞买者可登录电子交易系统网站(https://tdky.hzggzyjy.cn/)查询。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申请人可在电子交易系统浏览和下载本宗地网上挂牌出让文件，具体包括：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1、惠州市</w:t>
      </w:r>
      <w:r>
        <w:rPr>
          <w:rFonts w:hint="eastAsia" w:ascii="仿宋" w:hAnsi="仿宋" w:eastAsia="仿宋" w:cs="仿宋"/>
          <w:color w:val="auto"/>
          <w:sz w:val="32"/>
          <w:szCs w:val="32"/>
          <w:lang w:val="en-US" w:eastAsia="zh-CN"/>
        </w:rPr>
        <w:t>惠城区</w:t>
      </w:r>
      <w:r>
        <w:rPr>
          <w:rFonts w:hint="eastAsia" w:ascii="仿宋" w:hAnsi="仿宋" w:eastAsia="仿宋" w:cs="仿宋"/>
          <w:color w:val="auto"/>
          <w:sz w:val="32"/>
          <w:szCs w:val="32"/>
        </w:rPr>
        <w:t>国有建设用地使用权网上挂牌出让公告；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2、惠州市国有建设用地使用权网上挂牌出让竞买须知；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3、挂牌出让地块现状图；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4、建设用地红线界限图；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5、规划</w:t>
      </w:r>
      <w:r>
        <w:rPr>
          <w:rFonts w:hint="eastAsia" w:ascii="仿宋" w:hAnsi="仿宋" w:eastAsia="仿宋" w:cs="仿宋"/>
          <w:color w:val="auto"/>
          <w:sz w:val="32"/>
          <w:szCs w:val="32"/>
          <w:lang w:val="en-US" w:eastAsia="zh-CN"/>
        </w:rPr>
        <w:t>设计条件告知书</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6、国有建设用地使用权网上挂牌成交确认书（样本）；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7、国有建设用地使用权出让合同（样本）；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8、其他相关文件。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数字证书的办理流程详见电子交易系统上的《数字证书办理指南》。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（四）申请竞买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2、竞买人应当提前交纳竞买保证金，以确保竞买保证金在到账截止时间前到账，超过到账截止时间到账的竞买保证金，电子交易系统将不予受理，造成的损失由竞买人自行承担。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4、竞买保证金到账时间以电子交易系统确认并发出《竞买保证金到账通知书》为准。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竞买保证金账号：电子交易系统随机产生竞买保证金支付账号。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开户银行：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（1）中国建设银行惠州广场支行；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（2）中国银行惠州分行；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（3）中国工商银行股份有限公司惠州富力国际中心支行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（4）中国农业银行惠州分行；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（5）广发银行惠州江北支行；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（6）交通银行惠州分行；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（7）惠州市农村商业银行股份有限公司惠城支行；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（8）上海浦东发展银行股份有限公司惠州分行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（9）中国民生银行股份有限公司惠州分行；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(10）中信银行股份有限公司惠州分行。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（六）竞买人电子报价及</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限地价、摇号</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1、</w:t>
      </w:r>
      <w:r>
        <w:rPr>
          <w:rFonts w:hint="default" w:ascii="Times New Roman" w:hAnsi="Times New Roman" w:eastAsia="仿宋" w:cs="Times New Roman"/>
          <w:color w:val="auto"/>
          <w:sz w:val="32"/>
          <w:szCs w:val="32"/>
          <w:highlight w:val="none"/>
        </w:rPr>
        <w:t>本宗建设用地使用权网上挂牌采取“限地价、</w:t>
      </w:r>
      <w:r>
        <w:rPr>
          <w:rFonts w:hint="default" w:ascii="Times New Roman" w:hAnsi="Times New Roman" w:eastAsia="仿宋" w:cs="Times New Roman"/>
          <w:color w:val="auto"/>
          <w:sz w:val="32"/>
          <w:szCs w:val="32"/>
          <w:highlight w:val="none"/>
          <w:lang w:val="en-US" w:eastAsia="zh-CN"/>
        </w:rPr>
        <w:t>摇号</w:t>
      </w:r>
      <w:r>
        <w:rPr>
          <w:rFonts w:hint="default" w:ascii="Times New Roman" w:hAnsi="Times New Roman" w:eastAsia="仿宋" w:cs="Times New Roman"/>
          <w:color w:val="auto"/>
          <w:sz w:val="32"/>
          <w:szCs w:val="32"/>
          <w:highlight w:val="none"/>
        </w:rPr>
        <w:t>”出让方式，竞买人以增价方式通过网上挂牌交易系统进行报价，当报价达到最高限价时，网上挂牌交易系统转入</w:t>
      </w:r>
      <w:r>
        <w:rPr>
          <w:rFonts w:hint="default" w:ascii="Times New Roman" w:hAnsi="Times New Roman" w:eastAsia="仿宋" w:cs="Times New Roman"/>
          <w:color w:val="auto"/>
          <w:sz w:val="32"/>
          <w:szCs w:val="32"/>
          <w:highlight w:val="none"/>
          <w:lang w:val="en-US" w:eastAsia="zh-CN"/>
        </w:rPr>
        <w:t>采取摇号方式确定</w:t>
      </w:r>
      <w:r>
        <w:rPr>
          <w:rFonts w:hint="default" w:ascii="Times New Roman" w:hAnsi="Times New Roman" w:eastAsia="仿宋" w:cs="Times New Roman"/>
          <w:color w:val="auto"/>
          <w:sz w:val="32"/>
          <w:szCs w:val="32"/>
          <w:highlight w:val="none"/>
          <w:lang w:eastAsia="zh-CN"/>
        </w:rPr>
        <w:t>成交候选人</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）报价不能高于最高限价。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）不同竞买人均可报最高限价。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2、竞买人应当谨慎报价，报价一经提交并经电子交易系统确认为有效报价，不可撤回。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1、在电子挂牌交易</w:t>
      </w:r>
      <w:r>
        <w:rPr>
          <w:rFonts w:hint="default" w:ascii="Times New Roman" w:hAnsi="Times New Roman" w:eastAsia="仿宋" w:cs="Times New Roman"/>
          <w:color w:val="auto"/>
          <w:sz w:val="32"/>
          <w:szCs w:val="32"/>
          <w:highlight w:val="none"/>
        </w:rPr>
        <w:t>期限截止时</w:t>
      </w:r>
      <w:r>
        <w:rPr>
          <w:rFonts w:hint="eastAsia" w:ascii="仿宋" w:hAnsi="仿宋" w:eastAsia="仿宋" w:cs="仿宋"/>
          <w:color w:val="auto"/>
          <w:sz w:val="32"/>
          <w:szCs w:val="32"/>
        </w:rPr>
        <w:t>只有1个竞买人报价，且报价不低于起始价的，则该报价者为成交候选人；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2、电子</w:t>
      </w:r>
      <w:r>
        <w:rPr>
          <w:rFonts w:hint="default" w:ascii="Times New Roman" w:hAnsi="Times New Roman" w:eastAsia="仿宋" w:cs="Times New Roman"/>
          <w:color w:val="auto"/>
          <w:sz w:val="32"/>
          <w:szCs w:val="32"/>
          <w:highlight w:val="none"/>
        </w:rPr>
        <w:t>挂牌交易期限截止时无人报价的，挂牌不成交</w:t>
      </w:r>
      <w:r>
        <w:rPr>
          <w:rFonts w:hint="eastAsia" w:ascii="仿宋" w:hAnsi="仿宋" w:eastAsia="仿宋" w:cs="仿宋"/>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eastAsia="仿宋" w:cs="Times New Roman"/>
          <w:color w:val="auto"/>
          <w:sz w:val="32"/>
          <w:szCs w:val="32"/>
          <w:highlight w:val="none"/>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default" w:ascii="Times New Roman" w:hAnsi="Times New Roman" w:eastAsia="仿宋" w:cs="Times New Roman"/>
          <w:color w:val="auto"/>
          <w:sz w:val="32"/>
          <w:szCs w:val="32"/>
          <w:highlight w:val="none"/>
        </w:rPr>
        <w:t>在挂牌交易期限内有2个以上的竞买人报价的，按如下规定确定</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①在挂牌交易期限截止时</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最高报价未达到最高限价,经网上挂牌交易系统询问，无竞买人愿意参加限时竞价的，以当前报价最高者为</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② 在挂牌交易期限截止时 ,最高报价未达到最高限价,经网上挂牌交易系统询问，有竞买人愿意参加限时竞价的，进入限时竞价，限时竞价中最高报价未达到最高限价的, 该最高报价者为</w:t>
      </w:r>
      <w:r>
        <w:rPr>
          <w:rFonts w:hint="default" w:ascii="Times New Roman" w:hAnsi="Times New Roman" w:eastAsia="仿宋" w:cs="Times New Roman"/>
          <w:color w:val="auto"/>
          <w:sz w:val="32"/>
          <w:szCs w:val="32"/>
          <w:highlight w:val="none"/>
          <w:lang w:eastAsia="zh-CN"/>
        </w:rPr>
        <w:t>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default" w:ascii="Times New Roman" w:hAnsi="Times New Roman" w:eastAsia="仿宋" w:cs="Times New Roman"/>
          <w:color w:val="auto"/>
          <w:sz w:val="32"/>
          <w:szCs w:val="32"/>
          <w:highlight w:val="none"/>
          <w:lang w:val="en-US" w:eastAsia="zh-CN"/>
        </w:rPr>
        <w:t>进入限时竞价，限时竞价中</w:t>
      </w:r>
      <w:r>
        <w:rPr>
          <w:rFonts w:hint="default" w:ascii="Times New Roman" w:hAnsi="Times New Roman" w:eastAsia="仿宋" w:cs="Times New Roman"/>
          <w:color w:val="auto"/>
          <w:sz w:val="32"/>
          <w:szCs w:val="32"/>
          <w:highlight w:val="none"/>
        </w:rPr>
        <w:t>最高报价达到最高限价</w:t>
      </w:r>
      <w:r>
        <w:rPr>
          <w:rFonts w:hint="default" w:ascii="Times New Roman" w:hAnsi="Times New Roman" w:eastAsia="仿宋" w:cs="Times New Roman"/>
          <w:color w:val="auto"/>
          <w:sz w:val="32"/>
          <w:szCs w:val="32"/>
          <w:highlight w:val="none"/>
          <w:lang w:val="en-US" w:eastAsia="zh-CN"/>
        </w:rPr>
        <w:t>的</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若</w:t>
      </w:r>
      <w:r>
        <w:rPr>
          <w:rFonts w:hint="default" w:ascii="Times New Roman" w:hAnsi="Times New Roman" w:eastAsia="仿宋" w:cs="Times New Roman"/>
          <w:color w:val="auto"/>
          <w:sz w:val="32"/>
          <w:szCs w:val="32"/>
          <w:highlight w:val="none"/>
        </w:rPr>
        <w:t>只有</w:t>
      </w:r>
      <w:r>
        <w:rPr>
          <w:rFonts w:hint="default" w:ascii="Times New Roman" w:hAnsi="Times New Roman" w:eastAsia="仿宋" w:cs="Times New Roman"/>
          <w:color w:val="auto"/>
          <w:sz w:val="32"/>
          <w:szCs w:val="32"/>
          <w:highlight w:val="none"/>
          <w:lang w:val="en-US" w:eastAsia="zh-CN"/>
        </w:rPr>
        <w:t>1个</w:t>
      </w:r>
      <w:r>
        <w:rPr>
          <w:rFonts w:hint="default" w:ascii="Times New Roman" w:hAnsi="Times New Roman" w:eastAsia="仿宋" w:cs="Times New Roman"/>
          <w:color w:val="auto"/>
          <w:sz w:val="32"/>
          <w:szCs w:val="32"/>
          <w:highlight w:val="none"/>
        </w:rPr>
        <w:t>竞买人报最高限价，该报价者为</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lang w:val="en-US" w:eastAsia="zh-CN"/>
        </w:rPr>
        <w:t>若</w:t>
      </w:r>
      <w:r>
        <w:rPr>
          <w:rFonts w:hint="default" w:ascii="Times New Roman" w:hAnsi="Times New Roman" w:eastAsia="仿宋" w:cs="Times New Roman"/>
          <w:color w:val="auto"/>
          <w:sz w:val="32"/>
          <w:szCs w:val="32"/>
          <w:highlight w:val="none"/>
        </w:rPr>
        <w:t>有</w:t>
      </w:r>
      <w:r>
        <w:rPr>
          <w:rFonts w:hint="default" w:ascii="Times New Roman" w:hAnsi="Times New Roman" w:eastAsia="仿宋" w:cs="Times New Roman"/>
          <w:color w:val="auto"/>
          <w:sz w:val="32"/>
          <w:szCs w:val="32"/>
          <w:highlight w:val="none"/>
          <w:lang w:val="en-US" w:eastAsia="zh-CN"/>
        </w:rPr>
        <w:t>2个</w:t>
      </w:r>
      <w:r>
        <w:rPr>
          <w:rFonts w:hint="default" w:ascii="Times New Roman" w:hAnsi="Times New Roman" w:eastAsia="仿宋" w:cs="Times New Roman"/>
          <w:color w:val="auto"/>
          <w:sz w:val="32"/>
          <w:szCs w:val="32"/>
          <w:highlight w:val="none"/>
        </w:rPr>
        <w:t>以上竞买人报最高限价，网上挂牌交易系统将选取报最高限价的竞买号进行摇号，采取摇号的方式在规定的时间内确定</w:t>
      </w:r>
      <w:r>
        <w:rPr>
          <w:rFonts w:hint="default" w:ascii="Times New Roman" w:hAnsi="Times New Roman" w:eastAsia="仿宋" w:cs="Times New Roman"/>
          <w:color w:val="auto"/>
          <w:sz w:val="32"/>
          <w:szCs w:val="32"/>
          <w:highlight w:val="none"/>
          <w:lang w:eastAsia="zh-CN"/>
        </w:rPr>
        <w:t>成交候选人</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委托人确定竞得人后，由交易中心通过电子交易系统发布交易结果。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六、系统操作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电子交易系统竞买人操作视频可在交易中心电子交易系统下载。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竞买人对有关承诺承担法律责任。</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eastAsia="zh-CN"/>
        </w:rPr>
        <w:t>1、单独申请竞买的，竞买申请人为非本市注册登记的企业，在竞得土地后，必须于2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2、联合申请竞买的，联合竞买人在提交竞买申请材料时，须提交联合竞买申请书和协议，协议主要约定联合各方的权利和义务、参与竞买的代表人、联合各方的出资比例等。联合竞买申请人竞得土地后须于2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如对联合竞买申请人的开发资质条件有明确要求的，在审查联合竞买申请人资质时，以联合体内资质最低一方的资质作为联合体的竞买资格条件。</w:t>
      </w:r>
    </w:p>
    <w:p>
      <w:pPr>
        <w:pStyle w:val="2"/>
        <w:rPr>
          <w:rFonts w:hint="eastAsia" w:eastAsia="仿宋_GB2312"/>
          <w:lang w:val="en-US" w:eastAsia="zh-CN"/>
        </w:rPr>
      </w:pPr>
      <w:r>
        <w:rPr>
          <w:rFonts w:hint="eastAsia" w:ascii="Times New Roman" w:hAnsi="Times New Roman" w:eastAsia="仿宋"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rPr>
        <w:t>竞买申请单位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单位要说明购地资金来源，网上挂牌交易结束后提交相应证明并对上述要求作出承诺。对于经审查资金来源不符合要求的，根据情况采取取消参与资格竞买、取消竞得资格、解除土地出让合同或收回已出让土地等措施，竞买保证金不予返还，一年内不得在惠州市参加土地竞买</w:t>
      </w:r>
      <w:r>
        <w:rPr>
          <w:rFonts w:hint="eastAsia"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竞得人应按挂牌出让公告规定的时间与交易中心、委托人签订成交确认书，根据成交确认书约定的时间与委托人签订出让合同，并按合同约定支付成交价款。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价结果通知书》、《竞买保证金到账通知书》、保证金转账凭证等）到交易中心退还保证金，退还的保证金不计利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竞得人交纳的竞买保证金转付成交价款，办理转付成交价款手续应带齐如下相关资料：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1、我局开具的成交价款缴款单；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2、银行端查询缴税凭证；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3、惠州市非税收入缴款通知；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4、竞买保证金到账通知书；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5、竞价结果通知书；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6、保证金转账凭证。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（十二）本须知及挂牌出让公告涉及的时间期限，以电子交易系统服务器的时间为准。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（十三）本《竞买须知》的最终解释权归交易中心所有。未尽事宜依照《招标拍卖挂牌出让国有土地使用权规范》办理。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2024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29日</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0F37733"/>
    <w:rsid w:val="02CB501F"/>
    <w:rsid w:val="046161A6"/>
    <w:rsid w:val="0BDF4D1C"/>
    <w:rsid w:val="0F88549D"/>
    <w:rsid w:val="128F00A4"/>
    <w:rsid w:val="13F64E65"/>
    <w:rsid w:val="16A71418"/>
    <w:rsid w:val="1AF9192D"/>
    <w:rsid w:val="1CCB74AC"/>
    <w:rsid w:val="206157BD"/>
    <w:rsid w:val="23607014"/>
    <w:rsid w:val="244A5795"/>
    <w:rsid w:val="26C93D5C"/>
    <w:rsid w:val="2AEE0420"/>
    <w:rsid w:val="2C5D301B"/>
    <w:rsid w:val="39DB02FE"/>
    <w:rsid w:val="3EAA7B78"/>
    <w:rsid w:val="42134821"/>
    <w:rsid w:val="43E43619"/>
    <w:rsid w:val="4CD82CA3"/>
    <w:rsid w:val="59FD5427"/>
    <w:rsid w:val="5C1342D1"/>
    <w:rsid w:val="699C5CE0"/>
    <w:rsid w:val="6AC31CEA"/>
    <w:rsid w:val="6AE25807"/>
    <w:rsid w:val="6E090A6F"/>
    <w:rsid w:val="717C1C3E"/>
    <w:rsid w:val="71AB432A"/>
    <w:rsid w:val="74F66FDF"/>
    <w:rsid w:val="76C964C9"/>
    <w:rsid w:val="7B5165B6"/>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Administrator</cp:lastModifiedBy>
  <dcterms:modified xsi:type="dcterms:W3CDTF">2024-12-02T09:54:35Z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30A9035C090F47B7A3A298BD203B095D</vt:lpwstr>
  </property>
</Properties>
</file>