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800" w:lineRule="exact"/>
        <w:ind w:left="0" w:right="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惠州市国有建设用地使用权网上挂牌出让竞买须知</w:t>
      </w:r>
    </w:p>
    <w:p>
      <w:pPr>
        <w:pStyle w:val="5"/>
        <w:keepNext w:val="0"/>
        <w:keepLines w:val="0"/>
        <w:widowControl/>
        <w:suppressLineNumbers w:val="0"/>
        <w:spacing w:before="75" w:beforeAutospacing="0" w:after="75" w:afterAutospacing="0" w:line="705" w:lineRule="atLeast"/>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惠公易土市直[2025]0</w:t>
      </w:r>
      <w:r>
        <w:rPr>
          <w:rFonts w:hint="eastAsia" w:ascii="Times New Roman" w:hAnsi="Times New Roman" w:eastAsia="仿宋" w:cs="Times New Roman"/>
          <w:sz w:val="32"/>
          <w:szCs w:val="32"/>
          <w:lang w:val="en-US" w:eastAsia="zh-CN"/>
        </w:rPr>
        <w:t>23</w:t>
      </w:r>
      <w:r>
        <w:rPr>
          <w:rFonts w:hint="default" w:ascii="Times New Roman" w:hAnsi="Times New Roman" w:eastAsia="仿宋" w:cs="Times New Roman"/>
          <w:sz w:val="32"/>
          <w:szCs w:val="32"/>
        </w:rPr>
        <w:t>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二、本宗国有建设用地使用权网上挂牌出让遵循公开、公平、公正和诚实信用原则。</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三、中华人民共和国境内外的法人和其他组织（除法律法规另有规定外），符合竞买资格的，均可通过电子交易系统，申请参加电子挂牌交易活动。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国有建设用地使用权网上挂牌出让公告（以下简称“挂牌出让公告”）对竞买资格有特别要求的，以挂牌出让公告为准。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四、申请人对网上挂牌出让文件有疑问的，可在网上挂牌活动开始前以书面或者口头方式向惠州市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自然</w:t>
      </w:r>
      <w:r>
        <w:rPr>
          <w:rFonts w:hint="eastAsia" w:ascii="Times New Roman" w:hAnsi="Times New Roman" w:eastAsia="仿宋" w:cs="Times New Roman"/>
          <w:sz w:val="32"/>
          <w:szCs w:val="32"/>
          <w:lang w:val="en-US" w:eastAsia="zh-CN"/>
        </w:rPr>
        <w:t>资</w:t>
      </w:r>
      <w:r>
        <w:rPr>
          <w:rFonts w:hint="default" w:ascii="Times New Roman" w:hAnsi="Times New Roman" w:eastAsia="仿宋" w:cs="Times New Roman"/>
          <w:sz w:val="32"/>
          <w:szCs w:val="32"/>
        </w:rPr>
        <w:t>源局咨询。有意竞买者可自行踏勘现场（可在电子交易系统查阅位置图和现状图）。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五、网上挂牌交易程序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（一）发布网上挂牌信息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有关宗地的电子挂牌出让公告等相关信息通过中国土地市场网、广东省公共资源交易平台和电子交易系统等</w:t>
      </w:r>
      <w:r>
        <w:rPr>
          <w:rFonts w:hint="eastAsia" w:ascii="Times New Roman" w:hAnsi="Times New Roman" w:eastAsia="仿宋" w:cs="Times New Roman"/>
          <w:sz w:val="32"/>
          <w:szCs w:val="32"/>
          <w:lang w:val="en-US" w:eastAsia="zh-CN"/>
        </w:rPr>
        <w:t>媒介</w:t>
      </w:r>
      <w:r>
        <w:rPr>
          <w:rFonts w:hint="default" w:ascii="Times New Roman" w:hAnsi="Times New Roman" w:eastAsia="仿宋_GB2312" w:cs="Times New Roman"/>
          <w:b w:val="0"/>
          <w:bCs w:val="0"/>
          <w:color w:val="auto"/>
          <w:sz w:val="32"/>
          <w:szCs w:val="32"/>
          <w:highlight w:val="none"/>
        </w:rPr>
        <w:t>及</w:t>
      </w:r>
      <w:r>
        <w:rPr>
          <w:rFonts w:hint="eastAsia" w:ascii="Times New Roman" w:hAnsi="Times New Roman" w:eastAsia="仿宋_GB2312" w:cs="Times New Roman"/>
          <w:b w:val="0"/>
          <w:bCs w:val="0"/>
          <w:color w:val="auto"/>
          <w:sz w:val="32"/>
          <w:szCs w:val="32"/>
          <w:highlight w:val="none"/>
          <w:lang w:val="en-US" w:eastAsia="zh-CN"/>
        </w:rPr>
        <w:t>交易</w:t>
      </w:r>
      <w:r>
        <w:rPr>
          <w:rFonts w:hint="default" w:ascii="Times New Roman" w:hAnsi="Times New Roman" w:eastAsia="仿宋_GB2312" w:cs="Times New Roman"/>
          <w:b w:val="0"/>
          <w:bCs w:val="0"/>
          <w:color w:val="auto"/>
          <w:sz w:val="32"/>
          <w:szCs w:val="32"/>
          <w:highlight w:val="none"/>
        </w:rPr>
        <w:t>场所发布</w:t>
      </w:r>
      <w:r>
        <w:rPr>
          <w:rFonts w:hint="default" w:ascii="Times New Roman" w:hAnsi="Times New Roman" w:eastAsia="仿宋" w:cs="Times New Roman"/>
          <w:sz w:val="32"/>
          <w:szCs w:val="32"/>
        </w:rPr>
        <w:t>。</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有意竞买者可登录电子交易系统网站(https://tdky.hzggzyjy.cn/)查询。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（二）挂牌文件获取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申请人可在电子交易系统浏览和下载本宗地网上挂牌出让文件，具体包括：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国有建设用地使用权网上挂牌出让公告；</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2、惠州市国有建设用地使用权网上挂牌出让竞买须知；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3、挂牌出让地块现状图；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4、建设用地红线界限图；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5、规划设计条件</w:t>
      </w:r>
      <w:r>
        <w:rPr>
          <w:rFonts w:hint="eastAsia" w:ascii="Times New Roman" w:hAnsi="Times New Roman" w:eastAsia="仿宋" w:cs="Times New Roman"/>
          <w:sz w:val="32"/>
          <w:szCs w:val="32"/>
          <w:lang w:val="en-US" w:eastAsia="zh-CN"/>
        </w:rPr>
        <w:t>告知书</w:t>
      </w:r>
      <w:r>
        <w:rPr>
          <w:rFonts w:hint="default" w:ascii="Times New Roman" w:hAnsi="Times New Roman" w:eastAsia="仿宋" w:cs="Times New Roman"/>
          <w:sz w:val="32"/>
          <w:szCs w:val="32"/>
        </w:rPr>
        <w:t>；</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6、国有建设用地使用权网上挂牌成交确认书（样本）；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7、国有建设用地使用权出让合同（样本）；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8、其他相关文件。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（三）办理数字证书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1、本宗国有建设用地使用权网上挂牌出让只能在互联网上，通过电子交易系统进行。只有通过网上注册、办理数字证书、按要求足额交付竞买保证金的申请人，才能参加网上挂牌交易活动。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数字证书的办理流程详见电子交易系统上的《数字证书办理指南》。</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（四）申请竞买</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（五）交纳竞买保证金并获得竞买报价权限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1、竞买保证金是申请人参加网上挂牌交易活动的资格条件。按规定将竞买保证金汇入指定账户，是参加网上挂牌交易活动的必经程序。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2、竞买人应当提前交纳竞买保证金，以确保竞买保证金在到账截止时间前到账，超过到账截止时间到账的竞买保证金，电子交易系统将不予受理，造成的损失由竞买人自行承担。</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3、跨地区或跨行转账的竞买人，需预足资金的在途时间，以免影响竞买人及时取得竞买报价权限。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4、竞买保证金到账时间以电子交易系统确认并发出《竞买保证金到账通知书》为准。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5、竞买保证金开户单位：惠州市公共资源交易中心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竞买保证金账号：电子交易系统随机产生竞买保证金支付账号。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开户银行：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（1）中国建设银行惠州广场支行；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（2）中国银行惠州分行；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（3）中国工商银行股份有限公司惠州富力国际中心支行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（4）中国农业银行惠州分行；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（5）广发银行惠州江北支行；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（6）交通银行惠州分行；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（7）惠州市农村商业银行股份有限公司惠城支行；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（8）上海浦东发展银行股份有限公司惠州分行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（9）中国民生银行股份有限公司惠州分行；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(10）中信银行股份有限公司惠州分行。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6、申请人应根据电子交易系统生成的随机保证金账号按时足额交纳竞买保证金，在电子交易系统确认竞买保证金按时足额到账之后，竞买人将被赋予对应宗地的竞买报价权限。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（六）竞买人电子报价及电子限时竞价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1、竞买人通过电子交易系统进行报价。电子报价和电子限时竞价按以下规则进行：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（1）增价方式进行报价；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（2）竞买人可多次报价；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（3）初次报价不得低于起始价；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（4）每次增价数额应是规定的增价幅度的整数倍；</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（5）每次报价应当比当前最高报价至少递增1个增价幅度。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2、竞买人应当谨慎报价，报价一经提交并经电子交易系统确认为有效报价，不可撤回。</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电子挂牌交易期限截止前，竞买人应当进行至少一次有效报价，方有资格参加</w:t>
      </w:r>
      <w:r>
        <w:rPr>
          <w:rFonts w:hint="eastAsia" w:ascii="Times New Roman" w:hAnsi="Times New Roman" w:eastAsia="仿宋" w:cs="Times New Roman"/>
          <w:sz w:val="32"/>
          <w:szCs w:val="32"/>
          <w:lang w:eastAsia="zh-CN"/>
        </w:rPr>
        <w:t>交易</w:t>
      </w:r>
      <w:r>
        <w:rPr>
          <w:rFonts w:hint="default" w:ascii="Times New Roman" w:hAnsi="Times New Roman" w:eastAsia="仿宋" w:cs="Times New Roman"/>
          <w:sz w:val="32"/>
          <w:szCs w:val="32"/>
        </w:rPr>
        <w:t>宗地的电子限时竞价。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3、电子限时竞价是指在挂牌出让公告规定的电子挂牌交易期限截止时，有2个以上的竞买人报价，且经电子交易系统询问，5分钟内限时决定是否愿意继续报价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电子挂牌交易按照下列规则确定成交候选人：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1、在电子挂牌交易期限内只有1个竞买人报价，且报价不低于起始价的，则该报价者为成交候选人；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2、电子挂牌交易期限内有2个以上的竞买人报价，经电子交易系统询问，无竞买人愿意参加电子限时竞价的，以当前报价最高且报价不低于起始价者为成交候选人；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3、电子挂牌交易期限内无报价的，挂牌不成交；</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4、进入电子限时竞价，电子限时竞价中报价最高且报价不低于起始价者为成交候选人；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5、进入电子限时竞价，但电子限时竞价中无竞买人报价的，以电子挂牌交易截止时报价最高且报价不低于起始价者为成交候选人。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（九）公布交易结果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委托人确定竞得人后，由交易中心通过电子交易系统发布交易结果。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（十）签订成交确认书和交易合同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六、系统操作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电子交易系统竞买人操作视频可在交易中心电子交易系统下载。</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七、注意事项</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竞买人须详细阅读挂牌出让公告、竞买须知及《惠州市公共资源电子交易规则》，竞买申请一经受理确认后，即视为竞买人对挂牌出让公告、竞买须知、相关交易文件及地块现状无异议并全部接受，竞买人对有关承诺承担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单独申请竞买的，竞买申请人为非本市注册登记的企业，在竞得土地后，必须于 2 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联合申请竞买的，联合竞买人在提交竞买申请材料时，须提交联合竞买申请书和协议，协议主要约定联合各方的权利和义务、参与竞买的代表人、联合各方的出资比例等。联合竞买申请人竞得土地后须于 2 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（四）《竞价结果通知书》对委托人和成交候选人具有法律效力，委托人改变网上挂牌结果的，或者成交候选人放弃竞得宗地的，应当承担相应法律责任。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竞得人应按挂牌出让公告规定的时间与交易中心、委托人签订成交确认书，根据成交确认书约定的时间与委托人签订出让合同，并按合同约定支付成交价款。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买保证金到账通知书》、保证金转账凭证等）到交易中心退还保证金，退还的保证金不计利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pStyle w:val="5"/>
        <w:keepNext w:val="0"/>
        <w:keepLines w:val="0"/>
        <w:widowControl/>
        <w:suppressLineNumbers w:val="0"/>
        <w:spacing w:before="75" w:beforeAutospacing="0" w:after="75" w:afterAutospacing="0"/>
        <w:ind w:left="0" w:right="0"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1、电子交易系统受到黑客、病毒恶意攻击的；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2、公共资源交易平台因停电、电子交易系统故障、网络故障、交易软件或数据库错误等因素影响到交易活动不能正常进行的；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3、电子交易系统发现有安全漏洞，有潜在泄密危险，无法保证电子交易信息安全和公平公正交易的；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4、政府有关行政主管部门及司法机关依法要求暂停、中止或终止交易的；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5、委托人书面通知交易中心要求暂停、中止或终止交易的；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6、依法应当暂停、中止或终止交易的其他情形。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（八）网上挂牌成交价即为该宗地的出让总地价款，竞得人除支付成交价款外，还需支付契税、印花税等有关费用。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（九）竞得人与委托人签订出让合同后，应当按出让合同约定支付网上挂牌成交价款。竞得人付清全部成交价款后，依法申请办理土地登记，领取《不动产权证书》。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（十）网上挂牌不成交的，由委托人重新组织挂牌出让。</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（十一）挂牌出让公告、竞买须知及相关交易文件需要修改、补充时，将通过原挂牌出让公告发布渠道公告，不作另行通知。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（十二）本须知及挂牌出让公告涉及的时间期限，以电子交易系统服务器的时间为准。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（十三）本《竞买须知》的最终解释权归交易中心所有。未尽事宜依照《招标拍卖挂牌出让国有土地使用权规范》办理。</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惠州市公共资源交易中心</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2025年</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4</w:t>
      </w:r>
      <w:bookmarkStart w:id="0" w:name="_GoBack"/>
      <w:bookmarkEnd w:id="0"/>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3905CF8"/>
    <w:rsid w:val="04622C4A"/>
    <w:rsid w:val="06594FBB"/>
    <w:rsid w:val="08377625"/>
    <w:rsid w:val="0A3515BF"/>
    <w:rsid w:val="0CB544B0"/>
    <w:rsid w:val="123A4835"/>
    <w:rsid w:val="13F64E65"/>
    <w:rsid w:val="154D7E92"/>
    <w:rsid w:val="16A71418"/>
    <w:rsid w:val="1AC62B22"/>
    <w:rsid w:val="1CCB74AC"/>
    <w:rsid w:val="1D526FDB"/>
    <w:rsid w:val="1E771830"/>
    <w:rsid w:val="2106242D"/>
    <w:rsid w:val="23D765FB"/>
    <w:rsid w:val="26692359"/>
    <w:rsid w:val="26C93D5C"/>
    <w:rsid w:val="27815E86"/>
    <w:rsid w:val="29265862"/>
    <w:rsid w:val="29426D34"/>
    <w:rsid w:val="2AEE0420"/>
    <w:rsid w:val="2C5D301B"/>
    <w:rsid w:val="2D2A53F5"/>
    <w:rsid w:val="2E834821"/>
    <w:rsid w:val="2EEB2828"/>
    <w:rsid w:val="3319506B"/>
    <w:rsid w:val="336C5E12"/>
    <w:rsid w:val="35E2234D"/>
    <w:rsid w:val="36BB58C2"/>
    <w:rsid w:val="37FD4E36"/>
    <w:rsid w:val="3A2F5F21"/>
    <w:rsid w:val="3C2B6AEB"/>
    <w:rsid w:val="3D7B46F7"/>
    <w:rsid w:val="49C30460"/>
    <w:rsid w:val="4BEB5C94"/>
    <w:rsid w:val="4EA90876"/>
    <w:rsid w:val="50C12FDB"/>
    <w:rsid w:val="55083DFC"/>
    <w:rsid w:val="5749741B"/>
    <w:rsid w:val="5DE303A8"/>
    <w:rsid w:val="635546A8"/>
    <w:rsid w:val="664F245B"/>
    <w:rsid w:val="699C5CE0"/>
    <w:rsid w:val="6AE25807"/>
    <w:rsid w:val="6CD42890"/>
    <w:rsid w:val="70704C32"/>
    <w:rsid w:val="717528BB"/>
    <w:rsid w:val="71AB432A"/>
    <w:rsid w:val="73C66915"/>
    <w:rsid w:val="74F66FDF"/>
    <w:rsid w:val="757731E0"/>
    <w:rsid w:val="758D3297"/>
    <w:rsid w:val="79D51DC8"/>
    <w:rsid w:val="7A2A3540"/>
    <w:rsid w:val="7AA75EBD"/>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cp:lastPrinted>2025-04-06T08:14:00Z</cp:lastPrinted>
  <dcterms:modified xsi:type="dcterms:W3CDTF">2025-08-04T01:45:26Z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757A8A92009343DDBE3D5094D408497A</vt:lpwstr>
  </property>
</Properties>
</file>