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惠州市国有建设用地使用权网上挂牌</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44"/>
          <w:szCs w:val="44"/>
        </w:rPr>
      </w:pPr>
      <w:r>
        <w:rPr>
          <w:rFonts w:hint="eastAsia" w:ascii="仿宋_GB2312" w:hAnsi="仿宋_GB2312" w:eastAsia="仿宋_GB2312" w:cs="仿宋_GB2312"/>
          <w:color w:val="auto"/>
          <w:sz w:val="44"/>
          <w:szCs w:val="44"/>
        </w:rPr>
        <w:t>出让竞买须知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惠公易土市直[</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019</w:t>
      </w:r>
      <w:r>
        <w:rPr>
          <w:rFonts w:hint="eastAsia" w:ascii="仿宋_GB2312" w:hAnsi="仿宋_GB2312" w:eastAsia="仿宋_GB2312" w:cs="仿宋_GB2312"/>
          <w:color w:val="auto"/>
          <w:sz w:val="32"/>
          <w:szCs w:val="32"/>
        </w:rPr>
        <w:t>号</w:t>
      </w:r>
    </w:p>
    <w:p>
      <w:pPr>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三、中华人民共和国境内外的法人和其他组织（除法律法规另有规定外），符合竞买资格的，均可通过电子交易系统，申请参加电子挂牌交易活动。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惠州市国有建设用地使用权网上挂牌出让公告（以下简称“挂牌出让公告”）对竞买资格有特别要求的，以挂牌出让公告为准。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惠州市公共资源交易中心（以下简称“交易中心”）咨询。有意竞买者可自行踏勘现场（可在电子交易系统查阅位置图和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有关宗地的电子挂牌出让公告等相关信息通过交易大厅的电子显示屏、中国土地市场网、广东省公共资源交易平台和电子交易系统等媒介同步发布。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有意竞买者可登录电子交易系统网站(https://tdky.hzggzyjy.cn/)查询。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申请人可在电子交易系统浏览和下载本宗地网上挂牌出让文件，具体包括：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1、惠州市</w:t>
      </w:r>
      <w:r>
        <w:rPr>
          <w:rFonts w:hint="eastAsia" w:ascii="仿宋_GB2312" w:hAnsi="仿宋_GB2312" w:eastAsia="仿宋_GB2312" w:cs="仿宋_GB2312"/>
          <w:color w:val="auto"/>
          <w:sz w:val="32"/>
          <w:szCs w:val="32"/>
          <w:lang w:val="en-US" w:eastAsia="zh-CN"/>
        </w:rPr>
        <w:t>惠城区</w:t>
      </w:r>
      <w:bookmarkStart w:id="0" w:name="_GoBack"/>
      <w:bookmarkEnd w:id="0"/>
      <w:r>
        <w:rPr>
          <w:rFonts w:hint="eastAsia" w:ascii="仿宋_GB2312" w:hAnsi="仿宋_GB2312" w:eastAsia="仿宋_GB2312" w:cs="仿宋_GB2312"/>
          <w:color w:val="auto"/>
          <w:sz w:val="32"/>
          <w:szCs w:val="32"/>
        </w:rPr>
        <w:t>国有建设用地使用权网上挂牌出让公告；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2、惠州市国有建设用地使用权网上挂牌出让竞买须知；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3、挂牌出让地块现状图；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4、建设用地红线界限图；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建设用地</w:t>
      </w:r>
      <w:r>
        <w:rPr>
          <w:rFonts w:hint="eastAsia" w:ascii="仿宋_GB2312" w:hAnsi="仿宋_GB2312" w:eastAsia="仿宋_GB2312" w:cs="仿宋_GB2312"/>
          <w:color w:val="auto"/>
          <w:sz w:val="32"/>
          <w:szCs w:val="32"/>
        </w:rPr>
        <w:t>规划设计条件；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6、国有建设用地使用权网上挂牌成交确认书（样本）；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7、国有建设用地使用权出让合同（样本）；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8、其他相关文件。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1、本宗国有建设用地使用权网上挂牌出让只能在互联网上，通过电子交易系统进行。只有通过网上注册、办理数字证书、按要求足额交付竞买保证金的申请人，才能参加网上挂牌交易活动。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数字证书的办理流程详见电子交易系统上的《数字证书办理指南》。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2、竞买人应当提前交纳竞买保证金，以确保竞买保证金在到账截止时间前到账，超过到账截止时间到账的竞买保证金，电子交易系统将不予受理，造成的损失由竞买人自行承担。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3、跨地区或跨行转账的竞买人，需预足资金的在途时间，以免影响竞买人及时取得竞买报价权限。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4、竞买保证金到账时间以电子交易系统确认并发出《竞买保证金到账通知书》为准。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竞买保证金账号：电子交易系统随机产生竞买保证金支付账号。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（1）中国建设银行惠州广场支行；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（2）中国银行惠州分行；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（3）中国工商银行股份有限公司惠州富力国际中心支行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（4）中国农业银行惠州分行；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（5）广发银行惠州江北支行；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（6）交通银行惠州分行；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（7）惠州市农村商业银行股份有限公司惠城支行；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（8）上海浦东发展银行股份有限公司惠州分行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（9）中国民生银行股份有限公司惠州分行；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6、申请人应根据电子交易系统生成的随机保证金账号按时足额交纳竞买保证金，在电子交易系统确认竞买保证金按时足额到账之后，竞买人将被赋予对应宗地的竞买报价权限。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1、竞买人通过电子交易系统进行报价。电子报价和电子限时竞价按以下规则进行：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2、竞买人应当谨慎报价，报价一经提交并经电子交易系统确认为有效报价，不可撤回。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限时竞价是指在挂牌出让公告规定的电子挂牌交易期限截止时，有2个以上的竞买人报价，且经电子交易系统询问，5分钟内限时决定是否愿意继续报价,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1、在电子挂牌交易期限内只有1个竞买人报价，且报价不低于起始价的，则该报价者为成交候选人；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2、电子挂牌交易期限内有2个以上的竞买人报价，经电子交易系统询问，无竞买人愿意参加电子限时竞价的，以当前报价最高且报价不低于起始价者为成交候选人；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3、电子挂牌交易期限内无报价的，挂牌不成交；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5、进入电子限时竞价，但电子限时竞价中无竞买人报价的，以电子挂牌交易截止时报价最高且报价不低于起始价者为成交候选人。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本宗国有建设用地使用权网上挂牌出让实行竞买资格后置审查。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委托人确定竞得人后，由交易中心通过电子交易系统发布交易结果。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电子交易系统竞买人操作视频可在交易中心电子交易系统下载。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竞买人对有关承诺承担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竞得人可先与出让人签订《国有建设用地使用权出让合同》，在竞得人按约定办理完新公司注册登记手续后，出让人再与新公司签订《国有建设用地使用权出让合同变更协议》；出让人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（四）《竞价结果通知书》对委托人和成交候选人具有法律效力，委托人改变网上挂牌结果的，或者成交候选人放弃竞得宗地的，应当承担相应法律责任。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竞得人应按挂牌出让公告规定的时间与交易中心、委托人签订成交确认书，根据成交确认书约定的时间与委托人签订出让合同，并按合同约定支付成交价款。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价结果通知书》、《竞买保证金到账通知书》、保证金转账凭证等）到交易中心退还保证金，退还的保证金不计利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委托</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竞买</w:t>
      </w:r>
      <w:r>
        <w:rPr>
          <w:rFonts w:hint="eastAsia" w:ascii="仿宋_GB2312" w:hAnsi="仿宋_GB2312" w:eastAsia="仿宋_GB2312" w:cs="仿宋_GB2312"/>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竞价</w:t>
      </w:r>
      <w:r>
        <w:rPr>
          <w:rFonts w:hint="eastAsia" w:ascii="仿宋_GB2312" w:hAnsi="仿宋_GB2312" w:eastAsia="仿宋_GB2312" w:cs="仿宋_GB2312"/>
          <w:color w:val="auto"/>
          <w:sz w:val="32"/>
          <w:szCs w:val="32"/>
          <w:highlight w:val="none"/>
        </w:rPr>
        <w:t>结果通知书；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、保证金转账凭证。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（九）竞得人与委托人签订出让合同后，应当按出让合同约定支付网上挂牌成交价款。竞得人付清全部成交价款后，依法申请办理土地登记，领取《不动产权证书》。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（十）网上挂牌不成交的，由委托人重新组织挂牌出让。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（十一）挂牌出让公告、竞买须知及相关交易文件需要修改、补充时，将通过原挂牌出让公告发布渠道公告，不作另行通知。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（十二）本须知及挂牌出让公告涉及的时间期限，以电子交易系统服务器的时间为准。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（十三）本《竞买须知》的最终解释权归交易中心所有。未尽事宜依照《招标拍卖挂牌出让国有土地使用权规范</w:t>
      </w:r>
      <w:r>
        <w:rPr>
          <w:rFonts w:hint="eastAsia" w:ascii="仿宋_GB2312" w:hAnsi="仿宋_GB2312" w:eastAsia="仿宋_GB2312" w:cs="仿宋_GB2312"/>
          <w:color w:val="auto"/>
          <w:sz w:val="32"/>
          <w:szCs w:val="32"/>
          <w:lang w:eastAsia="zh-CN"/>
        </w:rPr>
        <w:t>（试行）</w:t>
      </w:r>
      <w:r>
        <w:rPr>
          <w:rFonts w:hint="eastAsia" w:ascii="仿宋_GB2312" w:hAnsi="仿宋_GB2312" w:eastAsia="仿宋_GB2312" w:cs="仿宋_GB2312"/>
          <w:color w:val="auto"/>
          <w:sz w:val="32"/>
          <w:szCs w:val="32"/>
        </w:rPr>
        <w:t>》办理。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2024年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6594FBB"/>
    <w:rsid w:val="123A4835"/>
    <w:rsid w:val="13F64E65"/>
    <w:rsid w:val="16A71418"/>
    <w:rsid w:val="1CCB74AC"/>
    <w:rsid w:val="2106242D"/>
    <w:rsid w:val="26C93D5C"/>
    <w:rsid w:val="2AEE0420"/>
    <w:rsid w:val="2C5D301B"/>
    <w:rsid w:val="2EEB2828"/>
    <w:rsid w:val="36BB58C2"/>
    <w:rsid w:val="3A2F5F21"/>
    <w:rsid w:val="4BEB5C94"/>
    <w:rsid w:val="4C7F6CDD"/>
    <w:rsid w:val="699C5CE0"/>
    <w:rsid w:val="6AE25807"/>
    <w:rsid w:val="71AB432A"/>
    <w:rsid w:val="74F66FDF"/>
    <w:rsid w:val="7B5165B6"/>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Administrator</cp:lastModifiedBy>
  <dcterms:modified xsi:type="dcterms:W3CDTF">2024-12-02T09:23:18Z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30A9035C090F47B7A3A298BD203B095D</vt:lpwstr>
  </property>
</Properties>
</file>