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华文中宋" w:hAnsi="华文中宋" w:eastAsia="华文中宋" w:cs="华文中宋"/>
          <w:b/>
          <w:bCs/>
          <w:sz w:val="48"/>
          <w:szCs w:val="48"/>
        </w:rPr>
      </w:pPr>
      <w:bookmarkStart w:id="0" w:name="_GoBack"/>
      <w:bookmarkEnd w:id="0"/>
      <w:r>
        <w:rPr>
          <w:rFonts w:hint="eastAsia" w:ascii="华文中宋" w:hAnsi="华文中宋" w:eastAsia="华文中宋" w:cs="华文中宋"/>
          <w:b/>
          <w:bCs/>
          <w:sz w:val="48"/>
          <w:szCs w:val="48"/>
        </w:rPr>
        <w:t>惠州市国有建设用地使用权网上挂牌出让</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华文中宋" w:hAnsi="华文中宋" w:eastAsia="华文中宋" w:cs="华文中宋"/>
          <w:b/>
          <w:bCs/>
          <w:sz w:val="48"/>
          <w:szCs w:val="48"/>
        </w:rPr>
      </w:pPr>
      <w:r>
        <w:rPr>
          <w:rFonts w:hint="eastAsia" w:ascii="华文中宋" w:hAnsi="华文中宋" w:eastAsia="华文中宋" w:cs="华文中宋"/>
          <w:b/>
          <w:bCs/>
          <w:sz w:val="48"/>
          <w:szCs w:val="48"/>
        </w:rPr>
        <w:t>竞买须知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jc w:val="center"/>
        <w:textAlignment w:val="auto"/>
        <w:rPr>
          <w:rFonts w:hint="eastAsia" w:ascii="仿宋" w:hAnsi="仿宋" w:eastAsia="仿宋" w:cs="仿宋"/>
          <w:sz w:val="32"/>
          <w:szCs w:val="32"/>
        </w:rPr>
      </w:pPr>
      <w:r>
        <w:rPr>
          <w:rFonts w:hint="eastAsia" w:ascii="仿宋" w:hAnsi="仿宋" w:eastAsia="仿宋" w:cs="仿宋"/>
          <w:sz w:val="32"/>
          <w:szCs w:val="32"/>
        </w:rPr>
        <w:t>惠公易土市直[202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026</w:t>
      </w:r>
      <w:r>
        <w:rPr>
          <w:rFonts w:hint="eastAsia" w:ascii="仿宋" w:hAnsi="仿宋" w:eastAsia="仿宋" w:cs="仿宋"/>
          <w:sz w:val="32"/>
          <w:szCs w:val="32"/>
        </w:rPr>
        <w:t>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惠州市</w:t>
      </w:r>
      <w:r>
        <w:rPr>
          <w:rFonts w:hint="eastAsia" w:ascii="仿宋" w:hAnsi="仿宋" w:eastAsia="仿宋" w:cs="仿宋"/>
          <w:sz w:val="32"/>
          <w:szCs w:val="32"/>
          <w:lang w:eastAsia="zh-CN"/>
        </w:rPr>
        <w:t>市本级</w:t>
      </w:r>
      <w:r>
        <w:rPr>
          <w:rFonts w:hint="eastAsia" w:ascii="仿宋" w:hAnsi="仿宋" w:eastAsia="仿宋" w:cs="仿宋"/>
          <w:sz w:val="32"/>
          <w:szCs w:val="32"/>
        </w:rPr>
        <w:t>国有建设用地使用权网上挂牌出让公告（以下简称“挂牌出让公告”）对竞买资格有特别要求的，以挂牌出让公告为准。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四、申请人对网上挂牌出让文件有疑问的，可在网上挂牌活动开始前以书面或者口头方式向惠州市自然</w:t>
      </w:r>
      <w:r>
        <w:rPr>
          <w:rFonts w:hint="eastAsia" w:ascii="仿宋" w:hAnsi="仿宋" w:eastAsia="仿宋" w:cs="仿宋"/>
          <w:sz w:val="32"/>
          <w:szCs w:val="32"/>
          <w:lang w:val="en-US" w:eastAsia="zh-CN"/>
        </w:rPr>
        <w:t>资</w:t>
      </w:r>
      <w:r>
        <w:rPr>
          <w:rFonts w:hint="eastAsia" w:ascii="仿宋" w:hAnsi="仿宋" w:eastAsia="仿宋" w:cs="仿宋"/>
          <w:sz w:val="32"/>
          <w:szCs w:val="32"/>
        </w:rPr>
        <w:t>源局咨询。有意竞买者可自行踏勘现场（可在电子交易系统查阅位置图和现状图）。</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五、网上挂牌交易程序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（一）发布网上挂牌信息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有关宗地的电子挂牌出让公告等相关信息通过中国土地市场网、广东省公共资源交易平台和电子交易系统等媒介及交易场所发布。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（二）挂牌文件获取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申请人可在电子交易系统浏览和下载本宗地网上挂牌出让文件，具体包括：</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1、惠州市</w:t>
      </w:r>
      <w:r>
        <w:rPr>
          <w:rFonts w:hint="eastAsia" w:ascii="仿宋" w:hAnsi="仿宋" w:eastAsia="仿宋" w:cs="仿宋"/>
          <w:sz w:val="32"/>
          <w:szCs w:val="32"/>
          <w:lang w:eastAsia="zh-CN"/>
        </w:rPr>
        <w:t>市本级</w:t>
      </w:r>
      <w:r>
        <w:rPr>
          <w:rFonts w:hint="eastAsia" w:ascii="仿宋" w:hAnsi="仿宋" w:eastAsia="仿宋" w:cs="仿宋"/>
          <w:sz w:val="32"/>
          <w:szCs w:val="32"/>
        </w:rPr>
        <w:t>国有建设用地使用权网上挂牌出让公告；</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2、惠州市国有建设用地使用权网上挂牌出让竞买须知；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3、挂牌出让地块现状图；</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4、建设用地红线界限图；</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5、规划设计条件告知书；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6、国有建设用地使用权网上挂牌成交确认书（样本）；</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7、国有建设用地使用权出让合同（样本）；</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8、其他相关文件。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（三）办理数字证书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数字证书的办理流程详见电子交易系统上的《数字证书办理指南》。</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（四）申请竞买</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（五）交纳竞买保证金并获得竞买报价权限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2、竞买人应当提前交纳竞买保证金，以确保竞买保证金在到账截止时间前到账，超过到账截止时间到账的竞买保证金，电子交易系统将不予受理，造成的损失由竞买人自行承担。</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4、竞买保证金到账时间以电子交易系统确认并发出《竞买保证金到账通知书》为准。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5、竞买保证金开户单位：惠州市公共资源交易中心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开户银行：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（1）中国建设银行惠州广场支行；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（2）中国银行惠州分行；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（3）中国工商银行股份有限公司惠州富力国际中心支行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（4）中国农业银行惠州分行；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（5）广发银行惠州江北支行；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（6）交通银行惠州分行；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（7）惠州市农村商业银行股份有限公司惠城支行；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（8）上海浦东发展银行股份有限公司惠州分行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（9）中国民生银行股份有限公司惠州分行；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(10）中信银行股份有限公司惠州分行。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（六）竞买人电子报价及电子限时竞价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1、竞买人通过电子交易系统进行报价。电子报价和电子限时竞价按以下规则进行：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（1）增价方式进行报价；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（2）竞买人可多次报价；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（3）初次报价不得低于起始价；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（4）每次增价数额应是规定的增价幅度的整数倍；</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2、竞买人应当谨慎报价，报价一经提交并经电子交易系统确认为有效报价，不可撤回。</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w:t>
      </w:r>
      <w:r>
        <w:rPr>
          <w:rFonts w:hint="eastAsia" w:ascii="仿宋" w:hAnsi="仿宋" w:eastAsia="仿宋" w:cs="仿宋"/>
          <w:sz w:val="32"/>
          <w:szCs w:val="32"/>
          <w:lang w:eastAsia="zh-CN"/>
        </w:rPr>
        <w:t>交易</w:t>
      </w:r>
      <w:r>
        <w:rPr>
          <w:rFonts w:hint="eastAsia" w:ascii="仿宋" w:hAnsi="仿宋" w:eastAsia="仿宋" w:cs="仿宋"/>
          <w:sz w:val="32"/>
          <w:szCs w:val="32"/>
        </w:rPr>
        <w:t>宗地的电子限时竞价。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3、电子限时竞价是指在挂牌出让公告规定的电子挂牌交易期限截止时，有2个以上的竞买人报价，且经电子交易系统询问，5分钟内限时决定是否愿意继续报价</w:t>
      </w:r>
      <w:r>
        <w:rPr>
          <w:rFonts w:hint="eastAsia" w:ascii="仿宋" w:hAnsi="仿宋" w:eastAsia="仿宋" w:cs="仿宋"/>
          <w:sz w:val="32"/>
          <w:szCs w:val="32"/>
          <w:lang w:val="en-US" w:eastAsia="zh-CN"/>
        </w:rPr>
        <w:t>，</w:t>
      </w:r>
      <w:r>
        <w:rPr>
          <w:rFonts w:hint="eastAsia" w:ascii="仿宋" w:hAnsi="仿宋" w:eastAsia="仿宋" w:cs="仿宋"/>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（七）确定成交候选人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电子挂牌交易按照下列规则确定成交候选人：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1、在电子挂牌交易期限内只有1个竞买人报价，且报价不低于起始价的，则该报价者为成交候选人；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2、电子挂牌交易期限内有2个以上的竞买人报价，经电子交易系统询问，无竞买人愿意参加电子限时竞价的，以当前报价最高且报价不低于起始价者为成交候选人；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3、电子挂牌交易期限内无报价的，挂牌不成交；</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4、进入电子限时竞价，电子限时竞价中报价最高且报价不低于起始价者为成交候选人；</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（八）成交候选人竞买资格审查</w:t>
      </w:r>
    </w:p>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highlight w:val="none"/>
        </w:rPr>
      </w:pPr>
      <w:r>
        <w:rPr>
          <w:rFonts w:hint="eastAsia" w:ascii="仿宋" w:hAnsi="仿宋" w:eastAsia="仿宋" w:cs="仿宋"/>
          <w:b w:val="0"/>
          <w:bCs w:val="0"/>
          <w:color w:val="auto"/>
          <w:sz w:val="32"/>
          <w:szCs w:val="32"/>
          <w:highlight w:val="none"/>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电子挂牌交易结束后，电子挂牌竞价结果即时通过</w:t>
      </w:r>
      <w:r>
        <w:rPr>
          <w:rFonts w:hint="eastAsia" w:ascii="仿宋" w:hAnsi="仿宋" w:eastAsia="仿宋" w:cs="仿宋"/>
          <w:color w:val="auto"/>
          <w:sz w:val="32"/>
          <w:szCs w:val="32"/>
          <w:highlight w:val="none"/>
          <w:lang w:eastAsia="zh-CN"/>
        </w:rPr>
        <w:t>电子交易系统</w:t>
      </w:r>
      <w:r>
        <w:rPr>
          <w:rFonts w:hint="eastAsia" w:ascii="仿宋" w:hAnsi="仿宋" w:eastAsia="仿宋" w:cs="仿宋"/>
          <w:color w:val="auto"/>
          <w:sz w:val="32"/>
          <w:szCs w:val="32"/>
          <w:highlight w:val="none"/>
        </w:rPr>
        <w:t>发布。成交候选人应当在电子挂牌竞价结果公布后，按挂牌出让公告及</w:t>
      </w:r>
      <w:r>
        <w:rPr>
          <w:rFonts w:hint="eastAsia" w:ascii="仿宋" w:hAnsi="仿宋" w:eastAsia="仿宋" w:cs="仿宋"/>
          <w:color w:val="auto"/>
          <w:sz w:val="32"/>
          <w:szCs w:val="32"/>
          <w:highlight w:val="none"/>
          <w:lang w:eastAsia="zh-CN"/>
        </w:rPr>
        <w:t>竞买</w:t>
      </w:r>
      <w:r>
        <w:rPr>
          <w:rFonts w:hint="eastAsia" w:ascii="仿宋" w:hAnsi="仿宋" w:eastAsia="仿宋" w:cs="仿宋"/>
          <w:color w:val="auto"/>
          <w:sz w:val="32"/>
          <w:szCs w:val="32"/>
          <w:highlight w:val="none"/>
        </w:rPr>
        <w:t>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rPr>
        <w:t>不符合竞买资格的，取消成交候选人资格，竞价结果无效。</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（九）公布交易结果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委托人确定竞得人后，由交易中心通过电子交易系统发布交易结果。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（十）签订成交确认书和交易合同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六、系统操作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电子交易系统竞买人操作视频可在交易中心电子交易系统下载。</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七、注意事项</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独申请竞买的，竞买申请人竞得土地后，拟以项目开发公司办理土地出让与登记发证手续的，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联合申请竞买的，联合竞买人在提交竞买申请材料时，须提交联合竞买申请书和协议，协议主要约定联合各方的权利和义务、参与竞买的代表人、联合各方的出资比例等。联合竞买申请人竞得土地后须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）《竞价结果通知书》对委托人和成交候选人具有法律效力，委托人改变网上挂牌结果的，或者成交候选人放弃竞得宗地的，应当承担相应法律责任。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竞得人应按挂牌出让公告规定的时间与交易中心、委托人签订成交确认书，根据成交确认书约定的时间与委托人签订出让合同，并按合同约定支付成交价款。</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竞得人交纳的竞买保证金转付成交价款，办理转付成交价款手续应带齐如下相关资料：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rPr>
        <w:t>1、</w:t>
      </w:r>
      <w:r>
        <w:rPr>
          <w:rFonts w:hint="eastAsia" w:ascii="仿宋" w:hAnsi="仿宋" w:eastAsia="仿宋" w:cs="仿宋"/>
          <w:sz w:val="32"/>
          <w:szCs w:val="32"/>
          <w:shd w:val="clear" w:fill="FFFFFF"/>
          <w:lang w:eastAsia="zh-CN"/>
        </w:rPr>
        <w:t>惠州市非税收入缴款通知</w:t>
      </w:r>
      <w:r>
        <w:rPr>
          <w:rFonts w:hint="eastAsia" w:ascii="仿宋" w:hAnsi="仿宋" w:eastAsia="仿宋" w:cs="仿宋"/>
          <w:sz w:val="32"/>
          <w:szCs w:val="32"/>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2</w:t>
      </w:r>
      <w:r>
        <w:rPr>
          <w:rFonts w:hint="eastAsia" w:ascii="仿宋" w:hAnsi="仿宋" w:eastAsia="仿宋" w:cs="仿宋"/>
          <w:sz w:val="32"/>
          <w:szCs w:val="32"/>
          <w:shd w:val="clear" w:fill="FFFFFF"/>
        </w:rPr>
        <w:t>、竞买保证金到账通知书；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3</w:t>
      </w:r>
      <w:r>
        <w:rPr>
          <w:rFonts w:hint="eastAsia" w:ascii="仿宋" w:hAnsi="仿宋" w:eastAsia="仿宋" w:cs="仿宋"/>
          <w:sz w:val="32"/>
          <w:szCs w:val="32"/>
          <w:shd w:val="clear" w:fill="FFFFFF"/>
        </w:rPr>
        <w:t>、竞价结果通知书；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10"/>
        <w:textAlignment w:val="auto"/>
        <w:rPr>
          <w:rFonts w:hint="eastAsia" w:ascii="仿宋" w:hAnsi="仿宋" w:eastAsia="仿宋" w:cs="仿宋"/>
          <w:sz w:val="32"/>
          <w:szCs w:val="32"/>
        </w:rPr>
      </w:pPr>
      <w:r>
        <w:rPr>
          <w:rFonts w:hint="eastAsia" w:ascii="仿宋" w:hAnsi="仿宋" w:eastAsia="仿宋" w:cs="仿宋"/>
          <w:sz w:val="32"/>
          <w:szCs w:val="32"/>
          <w:shd w:val="clear" w:fill="FFFFFF"/>
          <w:lang w:val="en-US" w:eastAsia="zh-CN"/>
        </w:rPr>
        <w:t>4</w:t>
      </w:r>
      <w:r>
        <w:rPr>
          <w:rFonts w:hint="eastAsia" w:ascii="仿宋" w:hAnsi="仿宋" w:eastAsia="仿宋" w:cs="仿宋"/>
          <w:sz w:val="32"/>
          <w:szCs w:val="32"/>
          <w:shd w:val="clear" w:fill="FFFFFF"/>
        </w:rPr>
        <w:t>、保证金转账凭证。</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1、电子交易系统受到黑客、病毒恶意攻击的；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6、依法应当暂停、中止或终止交易的其他情形。</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）网上挂牌成交价即为该宗地的出让总地价款，竞得人除支付成交价款外，还需支付契税、印花税等有关费用。</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）竞得人与委托人签订出让合同后，应当按出让合同约定支付网上挂牌成交价款。竞得人付清全部成交价款后，依法申请办理土地登记，领取《不动产权证书》。</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）网上挂牌不成交的，由委托人重新组织挂牌出让。</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九</w:t>
      </w:r>
      <w:r>
        <w:rPr>
          <w:rFonts w:hint="eastAsia" w:ascii="仿宋" w:hAnsi="仿宋" w:eastAsia="仿宋" w:cs="仿宋"/>
          <w:sz w:val="32"/>
          <w:szCs w:val="32"/>
        </w:rPr>
        <w:t>）挂牌出让公告、竞买须知及相关交易文件需要修改、补充时，将通过原挂牌出让公告发布渠道公告，不作另行通知。</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w:t>
      </w:r>
      <w:r>
        <w:rPr>
          <w:rFonts w:hint="eastAsia" w:ascii="仿宋" w:hAnsi="仿宋" w:eastAsia="仿宋" w:cs="仿宋"/>
          <w:sz w:val="32"/>
          <w:szCs w:val="32"/>
        </w:rPr>
        <w:t>）本须知及挂牌出让公告涉及的时间期限，以电子交易系统服务器的时间为准。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textAlignment w:val="auto"/>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）本《竞买须知》的最终解释权归交易中心所有。未尽事宜依照《招标拍卖挂牌出让国有土地使用权规范》办理。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惠州市公共资源交易中心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645"/>
        <w:jc w:val="center"/>
        <w:textAlignment w:val="auto"/>
        <w:rPr>
          <w:rFonts w:hint="eastAsia" w:ascii="仿宋" w:hAnsi="仿宋" w:eastAsia="仿宋" w:cs="仿宋"/>
          <w:color w:val="auto"/>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p>
    <w:sectPr>
      <w:footerReference r:id="rId3" w:type="default"/>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6594FBB"/>
    <w:rsid w:val="099724D6"/>
    <w:rsid w:val="0CB544B0"/>
    <w:rsid w:val="104E472C"/>
    <w:rsid w:val="111C18EF"/>
    <w:rsid w:val="123A4835"/>
    <w:rsid w:val="13F64E65"/>
    <w:rsid w:val="16A71418"/>
    <w:rsid w:val="1AC22587"/>
    <w:rsid w:val="1AC62B22"/>
    <w:rsid w:val="1CCB74AC"/>
    <w:rsid w:val="1D526FDB"/>
    <w:rsid w:val="1E771830"/>
    <w:rsid w:val="204011A4"/>
    <w:rsid w:val="2106242D"/>
    <w:rsid w:val="2667350D"/>
    <w:rsid w:val="26C93D5C"/>
    <w:rsid w:val="27815E86"/>
    <w:rsid w:val="29265862"/>
    <w:rsid w:val="29BB0F6D"/>
    <w:rsid w:val="2AEE0420"/>
    <w:rsid w:val="2C5D301B"/>
    <w:rsid w:val="2E834821"/>
    <w:rsid w:val="2EEB2828"/>
    <w:rsid w:val="3319506B"/>
    <w:rsid w:val="35E2234D"/>
    <w:rsid w:val="36BB58C2"/>
    <w:rsid w:val="3A2F5F21"/>
    <w:rsid w:val="4486677B"/>
    <w:rsid w:val="49C30460"/>
    <w:rsid w:val="4BEB5C94"/>
    <w:rsid w:val="4EAE437C"/>
    <w:rsid w:val="4ECE7859"/>
    <w:rsid w:val="55083DFC"/>
    <w:rsid w:val="5595438B"/>
    <w:rsid w:val="5749741B"/>
    <w:rsid w:val="57D76C1F"/>
    <w:rsid w:val="60A00FC4"/>
    <w:rsid w:val="664F245B"/>
    <w:rsid w:val="699C5CE0"/>
    <w:rsid w:val="6AE25807"/>
    <w:rsid w:val="70704C32"/>
    <w:rsid w:val="717528BB"/>
    <w:rsid w:val="71AB432A"/>
    <w:rsid w:val="73C66915"/>
    <w:rsid w:val="74F66FDF"/>
    <w:rsid w:val="79D51DC8"/>
    <w:rsid w:val="7AA75EBD"/>
    <w:rsid w:val="7B5165B6"/>
    <w:rsid w:val="7BA42F32"/>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cp:lastPrinted>2026-06-17T07:12:00Z</cp:lastPrinted>
  <dcterms:modified xsi:type="dcterms:W3CDTF">2026-06-17T07:20:04Z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A8496C9C23894E4280F8ED524B968B1B</vt:lpwstr>
  </property>
</Properties>
</file>