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014</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5400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1620</w:t>
      </w:r>
      <w:r>
        <w:rPr>
          <w:rFonts w:hint="eastAsia" w:hAnsi="仿宋_GB2312" w:cs="仿宋_GB2312"/>
          <w:szCs w:val="32"/>
        </w:rPr>
        <w:t>万元人民币。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六、本次国有建设用地使用权网上挂牌出让为无底价</w:t>
      </w:r>
      <w:r>
        <w:rPr>
          <w:rFonts w:hint="eastAsia" w:ascii="仿宋_GB2312" w:hAnsi="仿宋_GB2312" w:eastAsia="仿宋_GB2312" w:cs="仿宋_GB2312"/>
          <w:sz w:val="32"/>
          <w:szCs w:val="32"/>
        </w:rPr>
        <w:t>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color w:val="auto"/>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ascii="仿宋_GB2312" w:eastAsia="仿宋_GB2312" w:cs="仿宋_GB2312"/>
          <w:color w:val="auto"/>
          <w:sz w:val="31"/>
          <w:szCs w:val="31"/>
        </w:rPr>
        <w:t>网上挂牌系统确定成交后，竞得人缴纳的竞买保证金按成交价的</w:t>
      </w:r>
      <w:r>
        <w:rPr>
          <w:rFonts w:hint="eastAsia" w:ascii="仿宋_GB2312" w:eastAsia="仿宋_GB2312" w:cs="仿宋_GB2312"/>
          <w:color w:val="auto"/>
          <w:sz w:val="31"/>
          <w:szCs w:val="31"/>
          <w:lang w:val="en-US" w:eastAsia="zh-CN"/>
        </w:rPr>
        <w:t>2</w:t>
      </w:r>
      <w:r>
        <w:rPr>
          <w:rFonts w:hint="eastAsia" w:ascii="仿宋_GB2312" w:eastAsia="仿宋_GB2312" w:cs="仿宋_GB2312"/>
          <w:color w:val="auto"/>
          <w:sz w:val="31"/>
          <w:szCs w:val="31"/>
        </w:rPr>
        <w:t>0%转作定金。如竞买保证金不足于缴纳定金，不足部分在交易系统确定成交之日起5个工作日内补齐；如竞买保证金转作定金后有剩余，余额抵作土地成交价预付款。竞得人签订《出让合同》后，定金可抵作土地成交价款，余额转作土地成交价款。</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（一）开发投资总额不少于人民币</w:t>
      </w:r>
      <w:r>
        <w:rPr>
          <w:rFonts w:hint="eastAsia" w:ascii="仿宋_GB2312" w:hAnsi="仿宋" w:eastAsia="仿宋_GB2312"/>
          <w:sz w:val="32"/>
          <w:szCs w:val="32"/>
          <w:lang w:val="en-US" w:eastAsia="zh-CN"/>
        </w:rPr>
        <w:t>23500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报总平面图的主要技术经济指标：规划布局3栋仓库、1栋办公楼、1栋宿舍楼和1栋查验楼，计算指标用地面积52953平方米，建筑层数地上最高6层，地下1层，计容积率总建筑面积106204平方米（其中行政办公及生活服务设施建筑面积占比10.7%），容积率2.01，建筑密度35.6%（其中行政办公及生活服务设施用地面积占比5.5%），绿地率20%，机动车停车位404个（均为地上停车），各项指标满足《建设用地规划设计条件》（PB20200140号)要求。所报设计方案符合规划和相关规范要求，同意所报总平面图设计方案，须按程序进行公示，公示期未收到公众意见后则同意所报总平面图设计方案。建设单位须按照规划要求承担地块东侧密路网（包括雨水管和污水管）的建设并无偿移交给政府相关部门开发给公众使用，停车场须按不低于总停车位的10%的比例设置充电设施，建筑设计须符合国家、省、市有关绿色建筑和建筑节能方面的技术规范和标准，须按海绵城市设计要求做好设计及施工，本项目应按照《惠州市人民政府办公室关于大力发展装配式建筑的实施意见》（惠府办[2019]10号）的要求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投资强度不低于4700元/平方米。项目投产后前三年，土地产出率( 营业收入)不低于4500元/平方米/年，税收产出不低于540元/平方米/年。其中，土地产出率及税收产出，在项目投产后3年内逐年考核，3年内的平均值不得低于上述标准。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pStyle w:val="6"/>
        <w:keepNext w:val="0"/>
        <w:keepLines w:val="0"/>
        <w:widowControl/>
        <w:suppressLineNumbers w:val="0"/>
        <w:spacing w:line="555"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）竞得人有下列行为之一的，视为违约，取消竞得人资格，</w:t>
      </w:r>
      <w:r>
        <w:rPr>
          <w:rFonts w:ascii="仿宋_GB2312" w:eastAsia="仿宋_GB2312" w:cs="仿宋_GB2312"/>
          <w:color w:val="auto"/>
          <w:sz w:val="31"/>
          <w:szCs w:val="31"/>
        </w:rPr>
        <w:t>定金不予退还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2021年6月7日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16"/>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产业类型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GP2021-14</w:t>
            </w:r>
            <w:bookmarkStart w:id="0" w:name="_GoBack"/>
            <w:bookmarkEnd w:id="0"/>
          </w:p>
        </w:tc>
        <w:tc>
          <w:tcPr>
            <w:tcW w:w="45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惠城区马安木棉片区MAMM01-01-03-03地块</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MAMM01-01-03-03</w:t>
            </w:r>
          </w:p>
        </w:tc>
        <w:tc>
          <w:tcPr>
            <w:tcW w:w="675"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w:t>
            </w:r>
            <w:r>
              <w:rPr>
                <w:rFonts w:hint="eastAsia" w:ascii="仿宋_GB2312" w:hAnsi="Times New Roman" w:eastAsia="仿宋_GB2312" w:cs="Times New Roman"/>
                <w:szCs w:val="21"/>
                <w:lang w:val="en-US" w:eastAsia="zh-CN"/>
              </w:rPr>
              <w:t>物流仓储用地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45379</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52953</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79430-185335（其中配套设施</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每100平方米计容积率面积≥1个，</w:t>
            </w:r>
            <w:r>
              <w:rPr>
                <w:rFonts w:hint="eastAsia" w:ascii="仿宋_GB2312" w:hAnsi="Times New Roman" w:eastAsia="仿宋_GB2312" w:cs="Times New Roman"/>
                <w:szCs w:val="21"/>
                <w:lang w:val="en-US" w:eastAsia="zh-CN"/>
              </w:rPr>
              <w:t>仓库每100平方米计容积率建筑面积</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 xml:space="preserve">0.3个  </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现代物流业</w:t>
            </w:r>
            <w:r>
              <w:rPr>
                <w:rFonts w:hint="eastAsia" w:ascii="仿宋_GB2312" w:hAnsi="Times New Roman" w:eastAsia="仿宋_GB2312" w:cs="Times New Roman"/>
                <w:szCs w:val="21"/>
                <w:lang w:val="en-US" w:eastAsia="zh-CN"/>
              </w:rPr>
              <w:t>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6886"/>
    <w:rsid w:val="082B1937"/>
    <w:rsid w:val="0AA17B96"/>
    <w:rsid w:val="0B5E241D"/>
    <w:rsid w:val="0B832274"/>
    <w:rsid w:val="0D167AC3"/>
    <w:rsid w:val="0DF23899"/>
    <w:rsid w:val="0E7A65F6"/>
    <w:rsid w:val="0ECD1A18"/>
    <w:rsid w:val="101D3BC2"/>
    <w:rsid w:val="10BD4DFA"/>
    <w:rsid w:val="167673A1"/>
    <w:rsid w:val="17AA0480"/>
    <w:rsid w:val="18632239"/>
    <w:rsid w:val="188D227F"/>
    <w:rsid w:val="1A0B2C56"/>
    <w:rsid w:val="1AA5305E"/>
    <w:rsid w:val="1C3E6F1A"/>
    <w:rsid w:val="1C5904D7"/>
    <w:rsid w:val="1DE30B94"/>
    <w:rsid w:val="1E862B6D"/>
    <w:rsid w:val="20ED2229"/>
    <w:rsid w:val="22890C8D"/>
    <w:rsid w:val="28774868"/>
    <w:rsid w:val="2A870225"/>
    <w:rsid w:val="2B5D4967"/>
    <w:rsid w:val="2C404270"/>
    <w:rsid w:val="304C7078"/>
    <w:rsid w:val="318F7FAF"/>
    <w:rsid w:val="35335FA2"/>
    <w:rsid w:val="36061489"/>
    <w:rsid w:val="37607760"/>
    <w:rsid w:val="376B4DEF"/>
    <w:rsid w:val="37A05F86"/>
    <w:rsid w:val="38BD14D1"/>
    <w:rsid w:val="3AF5386E"/>
    <w:rsid w:val="3C13026D"/>
    <w:rsid w:val="40231E47"/>
    <w:rsid w:val="40363F40"/>
    <w:rsid w:val="42DC5792"/>
    <w:rsid w:val="43706132"/>
    <w:rsid w:val="48374503"/>
    <w:rsid w:val="4AA07475"/>
    <w:rsid w:val="4AE74DD0"/>
    <w:rsid w:val="4F094DBE"/>
    <w:rsid w:val="4F861E18"/>
    <w:rsid w:val="503F22B7"/>
    <w:rsid w:val="538C505C"/>
    <w:rsid w:val="541110DC"/>
    <w:rsid w:val="57C844D5"/>
    <w:rsid w:val="596A13D8"/>
    <w:rsid w:val="5A0B470D"/>
    <w:rsid w:val="5AF873B7"/>
    <w:rsid w:val="5D241B5A"/>
    <w:rsid w:val="5D4C0544"/>
    <w:rsid w:val="5F207D75"/>
    <w:rsid w:val="60884489"/>
    <w:rsid w:val="68377095"/>
    <w:rsid w:val="692A6240"/>
    <w:rsid w:val="6EB83079"/>
    <w:rsid w:val="6F4B3B48"/>
    <w:rsid w:val="729526F1"/>
    <w:rsid w:val="761352C3"/>
    <w:rsid w:val="77DD303C"/>
    <w:rsid w:val="7D060077"/>
    <w:rsid w:val="7D9C6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uiPriority w:val="0"/>
    <w:rPr>
      <w:rFonts w:hint="default" w:ascii="Consolas" w:hAnsi="Consolas" w:eastAsia="Consolas" w:cs="Consolas"/>
      <w:color w:val="C7254E"/>
      <w:sz w:val="21"/>
      <w:szCs w:val="21"/>
      <w:shd w:val="clear" w:fill="F9F2F4"/>
    </w:rPr>
  </w:style>
  <w:style w:type="character" w:styleId="14">
    <w:name w:val="HTML Keyboard"/>
    <w:basedOn w:val="7"/>
    <w:qFormat/>
    <w:uiPriority w:val="0"/>
    <w:rPr>
      <w:rFonts w:ascii="Consolas" w:hAnsi="Consolas" w:eastAsia="Consolas" w:cs="Consolas"/>
      <w:color w:val="FFFFFF"/>
      <w:sz w:val="21"/>
      <w:szCs w:val="21"/>
      <w:shd w:val="clear" w:fill="333333"/>
    </w:rPr>
  </w:style>
  <w:style w:type="character" w:styleId="15">
    <w:name w:val="HTML Sample"/>
    <w:basedOn w:val="7"/>
    <w:qFormat/>
    <w:uiPriority w:val="0"/>
    <w:rPr>
      <w:rFonts w:hint="default" w:ascii="Consolas" w:hAnsi="Consolas" w:eastAsia="Consolas" w:cs="Consolas"/>
      <w:sz w:val="21"/>
      <w:szCs w:val="21"/>
    </w:rPr>
  </w:style>
  <w:style w:type="character" w:customStyle="1" w:styleId="17">
    <w:name w:val="actspan"/>
    <w:basedOn w:val="7"/>
    <w:qFormat/>
    <w:uiPriority w:val="0"/>
  </w:style>
  <w:style w:type="character" w:customStyle="1" w:styleId="18">
    <w:name w:val="layui-layer-tabnow"/>
    <w:basedOn w:val="7"/>
    <w:uiPriority w:val="0"/>
    <w:rPr>
      <w:bdr w:val="single" w:color="CCCCCC" w:sz="6" w:space="0"/>
      <w:shd w:val="clear" w:fill="FFFFFF"/>
    </w:rPr>
  </w:style>
  <w:style w:type="character" w:customStyle="1" w:styleId="19">
    <w:name w:val="first-child"/>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刘智东</cp:lastModifiedBy>
  <cp:lastPrinted>2021-06-03T03:04:00Z</cp:lastPrinted>
  <dcterms:modified xsi:type="dcterms:W3CDTF">2021-06-08T01:03:09Z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