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046</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10440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rPr>
        <w:t>五、申请人应具备的其他条件：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3132</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hAnsi="仿宋_GB2312" w:cs="仿宋_GB2312"/>
          <w:szCs w:val="32"/>
        </w:rPr>
        <w:t>（二）</w:t>
      </w:r>
      <w:r>
        <w:rPr>
          <w:rFonts w:hint="eastAsia" w:ascii="仿宋_GB2312" w:hAnsi="仿宋_GB2312" w:eastAsia="仿宋_GB2312" w:cs="仿宋_GB2312"/>
          <w:sz w:val="32"/>
          <w:szCs w:val="32"/>
        </w:rPr>
        <w:t>竞得人在用地红线内开发建设必须符合城市规划要求，必须按上述建设方案的要求进行规划设计。</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Ansi="仿宋_GB2312" w:cs="仿宋_GB2312"/>
          <w:szCs w:val="32"/>
        </w:rPr>
        <w:t>(</w:t>
      </w:r>
      <w:r>
        <w:rPr>
          <w:rFonts w:hint="eastAsia" w:hAnsi="仿宋_GB2312" w:cs="仿宋_GB2312"/>
          <w:szCs w:val="32"/>
          <w:lang w:eastAsia="zh-CN"/>
        </w:rPr>
        <w:t>三</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、竞得人签订《成交确认书》后，缴交的保证金中按成交价的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%转作定金，竞得人签订《出让合同》后，定金转作土地出让价款。</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保证金少于成交价20%的，不足部分由竞得人在签订《成交确认书》之日起5个工作日内付清。</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16亿</w:t>
      </w:r>
      <w:r>
        <w:rPr>
          <w:rFonts w:hint="eastAsia" w:ascii="仿宋_GB2312" w:hAnsi="仿宋_GB2312" w:eastAsia="仿宋_GB2312" w:cs="仿宋_GB2312"/>
          <w:sz w:val="32"/>
          <w:szCs w:val="32"/>
        </w:rPr>
        <w:t>元（含地价）。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1、所报总平面图的主要技术经济指标：</w:t>
      </w:r>
      <w:r>
        <w:rPr>
          <w:rFonts w:hint="eastAsia" w:ascii="仿宋_GB2312" w:hAnsi="仿宋_GB2312" w:eastAsia="仿宋_GB2312" w:cs="仿宋_GB2312"/>
          <w:sz w:val="32"/>
          <w:szCs w:val="32"/>
          <w:lang w:eastAsia="zh-CN"/>
        </w:rPr>
        <w:t>规划布局</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栋厂房、</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栋宿舍楼，计算指标用地面积</w:t>
      </w:r>
      <w:r>
        <w:rPr>
          <w:rFonts w:hint="eastAsia" w:ascii="仿宋_GB2312" w:hAnsi="仿宋_GB2312" w:eastAsia="仿宋_GB2312" w:cs="仿宋_GB2312"/>
          <w:sz w:val="32"/>
          <w:szCs w:val="32"/>
          <w:lang w:val="en-US" w:eastAsia="zh-CN"/>
        </w:rPr>
        <w:t>106439</w:t>
      </w:r>
      <w:r>
        <w:rPr>
          <w:rFonts w:hint="eastAsia" w:ascii="仿宋_GB2312" w:hAnsi="仿宋_GB2312" w:eastAsia="仿宋_GB2312" w:cs="仿宋_GB2312"/>
          <w:sz w:val="32"/>
          <w:szCs w:val="32"/>
          <w:lang w:eastAsia="zh-CN"/>
        </w:rPr>
        <w:t>平方米，建筑层数地上最高</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层（建筑高度最高</w:t>
      </w:r>
      <w:r>
        <w:rPr>
          <w:rFonts w:hint="eastAsia" w:ascii="仿宋_GB2312" w:hAnsi="仿宋_GB2312" w:eastAsia="仿宋_GB2312" w:cs="仿宋_GB2312"/>
          <w:sz w:val="32"/>
          <w:szCs w:val="32"/>
          <w:lang w:val="en-US" w:eastAsia="zh-CN"/>
        </w:rPr>
        <w:t>68.7</w:t>
      </w:r>
      <w:r>
        <w:rPr>
          <w:rFonts w:hint="eastAsia" w:ascii="仿宋_GB2312" w:hAnsi="仿宋_GB2312" w:eastAsia="仿宋_GB2312" w:cs="仿宋_GB2312"/>
          <w:sz w:val="32"/>
          <w:szCs w:val="32"/>
          <w:lang w:eastAsia="zh-CN"/>
        </w:rPr>
        <w:t>米，使用功能为厂房），计容积率总建筑面积</w:t>
      </w:r>
      <w:r>
        <w:rPr>
          <w:rFonts w:hint="eastAsia" w:ascii="仿宋_GB2312" w:hAnsi="仿宋_GB2312" w:eastAsia="仿宋_GB2312" w:cs="仿宋_GB2312"/>
          <w:sz w:val="32"/>
          <w:szCs w:val="32"/>
          <w:lang w:val="en-US" w:eastAsia="zh-CN"/>
        </w:rPr>
        <w:t>325197.8</w:t>
      </w:r>
      <w:r>
        <w:rPr>
          <w:rFonts w:hint="eastAsia" w:ascii="仿宋_GB2312" w:hAnsi="仿宋_GB2312" w:eastAsia="仿宋_GB2312" w:cs="仿宋_GB2312"/>
          <w:sz w:val="32"/>
          <w:szCs w:val="32"/>
          <w:lang w:eastAsia="zh-CN"/>
        </w:rPr>
        <w:t>平方米（其中行政办公及生活服务设施建筑面积</w:t>
      </w:r>
      <w:r>
        <w:rPr>
          <w:rFonts w:hint="eastAsia" w:ascii="仿宋_GB2312" w:hAnsi="仿宋_GB2312" w:eastAsia="仿宋_GB2312" w:cs="仿宋_GB2312"/>
          <w:sz w:val="32"/>
          <w:szCs w:val="32"/>
          <w:lang w:val="en-US" w:eastAsia="zh-CN"/>
        </w:rPr>
        <w:t>9000</w:t>
      </w:r>
      <w:r>
        <w:rPr>
          <w:rFonts w:hint="eastAsia" w:ascii="仿宋_GB2312" w:hAnsi="仿宋_GB2312" w:eastAsia="仿宋_GB2312" w:cs="仿宋_GB2312"/>
          <w:sz w:val="32"/>
          <w:szCs w:val="32"/>
          <w:lang w:eastAsia="zh-CN"/>
        </w:rPr>
        <w:t>平方米，占比</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%），容积率</w:t>
      </w:r>
      <w:r>
        <w:rPr>
          <w:rFonts w:hint="eastAsia" w:ascii="仿宋_GB2312" w:hAnsi="仿宋_GB2312" w:eastAsia="仿宋_GB2312" w:cs="仿宋_GB2312"/>
          <w:sz w:val="32"/>
          <w:szCs w:val="32"/>
          <w:lang w:val="en-US" w:eastAsia="zh-CN"/>
        </w:rPr>
        <w:t>3.06</w:t>
      </w:r>
      <w:r>
        <w:rPr>
          <w:rFonts w:hint="eastAsia" w:ascii="仿宋_GB2312" w:hAnsi="仿宋_GB2312" w:eastAsia="仿宋_GB2312" w:cs="仿宋_GB2312"/>
          <w:sz w:val="32"/>
          <w:szCs w:val="32"/>
          <w:lang w:eastAsia="zh-CN"/>
        </w:rPr>
        <w:t>，建筑密度</w:t>
      </w:r>
      <w:r>
        <w:rPr>
          <w:rFonts w:hint="eastAsia" w:ascii="仿宋_GB2312" w:hAnsi="仿宋_GB2312" w:eastAsia="仿宋_GB2312" w:cs="仿宋_GB2312"/>
          <w:sz w:val="32"/>
          <w:szCs w:val="32"/>
          <w:lang w:val="en-US" w:eastAsia="zh-CN"/>
        </w:rPr>
        <w:t>36.36</w:t>
      </w:r>
      <w:r>
        <w:rPr>
          <w:rFonts w:hint="eastAsia" w:ascii="仿宋_GB2312" w:hAnsi="仿宋_GB2312" w:eastAsia="仿宋_GB2312" w:cs="仿宋_GB2312"/>
          <w:sz w:val="32"/>
          <w:szCs w:val="32"/>
          <w:lang w:eastAsia="zh-CN"/>
        </w:rPr>
        <w:t>%（其中行政办公设施用地面积</w:t>
      </w:r>
      <w:r>
        <w:rPr>
          <w:rFonts w:hint="eastAsia" w:ascii="仿宋_GB2312" w:hAnsi="仿宋_GB2312" w:eastAsia="仿宋_GB2312" w:cs="仿宋_GB2312"/>
          <w:sz w:val="32"/>
          <w:szCs w:val="32"/>
          <w:lang w:val="en-US" w:eastAsia="zh-CN"/>
        </w:rPr>
        <w:t>958</w:t>
      </w:r>
      <w:r>
        <w:rPr>
          <w:rFonts w:hint="eastAsia" w:ascii="仿宋_GB2312" w:hAnsi="仿宋_GB2312" w:eastAsia="仿宋_GB2312" w:cs="仿宋_GB2312"/>
          <w:sz w:val="32"/>
          <w:szCs w:val="32"/>
          <w:lang w:eastAsia="zh-CN"/>
        </w:rPr>
        <w:t>平方米，占比</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lang w:eastAsia="zh-CN"/>
        </w:rPr>
        <w:t>%），绿地率15%，停车位</w:t>
      </w:r>
      <w:r>
        <w:rPr>
          <w:rFonts w:hint="eastAsia" w:ascii="仿宋_GB2312" w:hAnsi="仿宋_GB2312" w:eastAsia="仿宋_GB2312" w:cs="仿宋_GB2312"/>
          <w:sz w:val="32"/>
          <w:szCs w:val="32"/>
          <w:lang w:val="en-US" w:eastAsia="zh-CN"/>
        </w:rPr>
        <w:t>721</w:t>
      </w:r>
      <w:r>
        <w:rPr>
          <w:rFonts w:hint="eastAsia" w:ascii="仿宋_GB2312" w:hAnsi="仿宋_GB2312" w:eastAsia="仿宋_GB2312" w:cs="仿宋_GB2312"/>
          <w:sz w:val="32"/>
          <w:szCs w:val="32"/>
          <w:lang w:eastAsia="zh-CN"/>
        </w:rPr>
        <w:t>个（其中地上</w:t>
      </w:r>
      <w:r>
        <w:rPr>
          <w:rFonts w:hint="eastAsia" w:ascii="仿宋_GB2312" w:hAnsi="仿宋_GB2312" w:eastAsia="仿宋_GB2312" w:cs="仿宋_GB2312"/>
          <w:sz w:val="32"/>
          <w:szCs w:val="32"/>
          <w:lang w:val="en-US" w:eastAsia="zh-CN"/>
        </w:rPr>
        <w:t>282</w:t>
      </w:r>
      <w:r>
        <w:rPr>
          <w:rFonts w:hint="eastAsia" w:ascii="仿宋_GB2312" w:hAnsi="仿宋_GB2312" w:eastAsia="仿宋_GB2312" w:cs="仿宋_GB2312"/>
          <w:sz w:val="32"/>
          <w:szCs w:val="32"/>
          <w:lang w:eastAsia="zh-CN"/>
        </w:rPr>
        <w:t>个、地下</w:t>
      </w:r>
      <w:r>
        <w:rPr>
          <w:rFonts w:hint="eastAsia" w:ascii="仿宋_GB2312" w:hAnsi="仿宋_GB2312" w:eastAsia="仿宋_GB2312" w:cs="仿宋_GB2312"/>
          <w:sz w:val="32"/>
          <w:szCs w:val="32"/>
          <w:lang w:val="en-US" w:eastAsia="zh-CN"/>
        </w:rPr>
        <w:t>439个</w:t>
      </w:r>
      <w:r>
        <w:rPr>
          <w:rFonts w:hint="eastAsia" w:ascii="仿宋_GB2312" w:hAnsi="仿宋_GB2312" w:eastAsia="仿宋_GB2312" w:cs="仿宋_GB2312"/>
          <w:sz w:val="32"/>
          <w:szCs w:val="32"/>
          <w:lang w:eastAsia="zh-CN"/>
        </w:rPr>
        <w:t>），各项指标满足《建设用地规划设计条件》（PB20200</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lang w:eastAsia="zh-CN"/>
        </w:rPr>
        <w:t>)要求，</w:t>
      </w:r>
      <w:r>
        <w:rPr>
          <w:rFonts w:hint="eastAsia" w:ascii="仿宋_GB2312" w:hAnsi="宋体" w:eastAsia="仿宋_GB2312" w:cs="宋体"/>
          <w:color w:val="auto"/>
          <w:kern w:val="0"/>
          <w:sz w:val="32"/>
          <w:szCs w:val="32"/>
          <w:lang w:val="en-US" w:eastAsia="zh-CN"/>
        </w:rPr>
        <w:t>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lang w:val="en-US" w:eastAsia="zh-CN"/>
        </w:rPr>
      </w:pPr>
      <w:r>
        <w:rPr>
          <w:rFonts w:hint="eastAsia" w:ascii="仿宋_GB2312" w:hAnsi="宋体" w:eastAsia="仿宋_GB2312" w:cs="宋体"/>
          <w:color w:val="auto"/>
          <w:kern w:val="0"/>
          <w:sz w:val="32"/>
          <w:szCs w:val="32"/>
          <w:lang w:val="en-US" w:eastAsia="zh-CN"/>
        </w:rPr>
        <w:t>2、建设项目平面布置图详见附件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招商条件</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投资强度不低于</w:t>
      </w:r>
      <w:r>
        <w:rPr>
          <w:rFonts w:hint="eastAsia" w:ascii="仿宋_GB2312" w:hAnsi="宋体" w:eastAsia="仿宋_GB2312" w:cs="宋体"/>
          <w:color w:val="auto"/>
          <w:kern w:val="0"/>
          <w:sz w:val="32"/>
          <w:szCs w:val="32"/>
          <w:lang w:val="en-US" w:eastAsia="zh-CN"/>
        </w:rPr>
        <w:t>15000</w:t>
      </w:r>
      <w:r>
        <w:rPr>
          <w:rFonts w:hint="eastAsia" w:ascii="仿宋_GB2312" w:hAnsi="宋体" w:eastAsia="仿宋_GB2312" w:cs="宋体"/>
          <w:color w:val="auto"/>
          <w:kern w:val="0"/>
          <w:sz w:val="32"/>
          <w:szCs w:val="32"/>
        </w:rPr>
        <w:t>元/</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，土地产出率（营业收入）不低于</w:t>
      </w:r>
      <w:r>
        <w:rPr>
          <w:rFonts w:hint="eastAsia" w:ascii="仿宋_GB2312" w:hAnsi="宋体" w:eastAsia="仿宋_GB2312" w:cs="宋体"/>
          <w:color w:val="auto"/>
          <w:kern w:val="0"/>
          <w:sz w:val="32"/>
          <w:szCs w:val="32"/>
          <w:lang w:val="en-US" w:eastAsia="zh-CN"/>
        </w:rPr>
        <w:t>18796</w:t>
      </w:r>
      <w:r>
        <w:rPr>
          <w:rFonts w:hint="eastAsia" w:ascii="仿宋_GB2312" w:hAnsi="宋体" w:eastAsia="仿宋_GB2312" w:cs="宋体"/>
          <w:color w:val="auto"/>
          <w:kern w:val="0"/>
          <w:sz w:val="32"/>
          <w:szCs w:val="32"/>
        </w:rPr>
        <w:t>元/</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/年，税收产出不低于</w:t>
      </w:r>
      <w:r>
        <w:rPr>
          <w:rFonts w:hint="eastAsia" w:ascii="仿宋_GB2312" w:hAnsi="宋体" w:eastAsia="仿宋_GB2312" w:cs="宋体"/>
          <w:color w:val="auto"/>
          <w:kern w:val="0"/>
          <w:sz w:val="32"/>
          <w:szCs w:val="32"/>
          <w:lang w:val="en-US" w:eastAsia="zh-CN"/>
        </w:rPr>
        <w:t>1200</w:t>
      </w:r>
      <w:r>
        <w:rPr>
          <w:rFonts w:hint="eastAsia" w:ascii="仿宋_GB2312" w:hAnsi="宋体" w:eastAsia="仿宋_GB2312" w:cs="宋体"/>
          <w:color w:val="auto"/>
          <w:kern w:val="0"/>
          <w:sz w:val="32"/>
          <w:szCs w:val="32"/>
          <w:lang w:eastAsia="zh-CN"/>
        </w:rPr>
        <w:t>元</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/年。其中，土地产出率及税收产出</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在项目投产后3年内逐年考核，3年内的平均值不得低于上述标准。</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bookmarkStart w:id="0" w:name="_GoBack"/>
      <w:bookmarkEnd w:id="0"/>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地址：惠州市</w:t>
      </w:r>
      <w:r>
        <w:rPr>
          <w:rFonts w:hint="eastAsia" w:ascii="仿宋_GB2312" w:hAnsi="仿宋_GB2312" w:eastAsia="仿宋_GB2312" w:cs="仿宋_GB2312"/>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陈镇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520" w:lineRule="exact"/>
        <w:ind w:right="640" w:firstLine="4640" w:firstLineChars="1450"/>
        <w:rPr>
          <w:rFonts w:ascii="仿宋_GB2312" w:eastAsia="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2020年11月6日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50"/>
        <w:gridCol w:w="750"/>
        <w:gridCol w:w="675"/>
        <w:gridCol w:w="774"/>
        <w:gridCol w:w="948"/>
        <w:gridCol w:w="720"/>
        <w:gridCol w:w="672"/>
        <w:gridCol w:w="1521"/>
        <w:gridCol w:w="1100"/>
        <w:gridCol w:w="933"/>
        <w:gridCol w:w="1062"/>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45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5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6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450"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675"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521"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100"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33"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1062" w:type="dxa"/>
            <w:vAlign w:val="center"/>
          </w:tcPr>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产业类型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GP2020-</w:t>
            </w:r>
            <w:r>
              <w:rPr>
                <w:rFonts w:hint="eastAsia" w:ascii="Times New Roman" w:hAnsi="Times New Roman" w:eastAsia="仿宋_GB2312" w:cs="Times New Roman"/>
                <w:szCs w:val="21"/>
                <w:lang w:val="en-US" w:eastAsia="zh-CN"/>
              </w:rPr>
              <w:t>46</w:t>
            </w:r>
          </w:p>
        </w:tc>
        <w:tc>
          <w:tcPr>
            <w:tcW w:w="450" w:type="dxa"/>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惠州市惠城区水口荔枝城片区</w:t>
            </w:r>
          </w:p>
        </w:tc>
        <w:tc>
          <w:tcPr>
            <w:tcW w:w="750"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JD-141-08</w:t>
            </w:r>
          </w:p>
        </w:tc>
        <w:tc>
          <w:tcPr>
            <w:tcW w:w="675" w:type="dxa"/>
            <w:tcMar>
              <w:left w:w="0" w:type="dxa"/>
              <w:right w:w="0" w:type="dxa"/>
            </w:tcMar>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一类工业用地</w:t>
            </w:r>
          </w:p>
        </w:tc>
        <w:tc>
          <w:tcPr>
            <w:tcW w:w="774"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78676.11</w:t>
            </w:r>
          </w:p>
        </w:tc>
        <w:tc>
          <w:tcPr>
            <w:tcW w:w="948"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106439</w:t>
            </w:r>
          </w:p>
        </w:tc>
        <w:tc>
          <w:tcPr>
            <w:tcW w:w="720" w:type="dxa"/>
            <w:vAlign w:val="center"/>
          </w:tcPr>
          <w:p>
            <w:pPr>
              <w:adjustRightInd w:val="0"/>
              <w:snapToGrid w:val="0"/>
              <w:spacing w:line="40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color w:val="000000"/>
                <w:szCs w:val="21"/>
                <w:lang w:val="en-US" w:eastAsia="zh-CN"/>
              </w:rPr>
              <w:t>≥35</w:t>
            </w:r>
          </w:p>
        </w:tc>
        <w:tc>
          <w:tcPr>
            <w:tcW w:w="672" w:type="dxa"/>
            <w:vAlign w:val="center"/>
          </w:tcPr>
          <w:p>
            <w:pPr>
              <w:adjustRightInd w:val="0"/>
              <w:snapToGrid w:val="0"/>
              <w:spacing w:line="4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2.0-</w:t>
            </w:r>
            <w:r>
              <w:rPr>
                <w:rFonts w:hint="default" w:ascii="Times New Roman" w:hAnsi="Times New Roman" w:eastAsia="仿宋_GB2312" w:cs="Times New Roman"/>
                <w:szCs w:val="21"/>
              </w:rPr>
              <w:t>3.</w:t>
            </w:r>
            <w:r>
              <w:rPr>
                <w:rFonts w:hint="default" w:ascii="Times New Roman" w:hAnsi="Times New Roman" w:eastAsia="仿宋_GB2312" w:cs="Times New Roman"/>
                <w:szCs w:val="21"/>
                <w:lang w:val="en-US" w:eastAsia="zh-CN"/>
              </w:rPr>
              <w:t>5</w:t>
            </w:r>
          </w:p>
        </w:tc>
        <w:tc>
          <w:tcPr>
            <w:tcW w:w="1521" w:type="dxa"/>
            <w:vAlign w:val="center"/>
          </w:tcPr>
          <w:p>
            <w:pPr>
              <w:adjustRightInd w:val="0"/>
              <w:snapToGrid w:val="0"/>
              <w:spacing w:line="40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212878-372536</w:t>
            </w:r>
          </w:p>
        </w:tc>
        <w:tc>
          <w:tcPr>
            <w:tcW w:w="1100" w:type="dxa"/>
            <w:vAlign w:val="center"/>
          </w:tcPr>
          <w:p>
            <w:pPr>
              <w:adjustRightInd w:val="0"/>
              <w:snapToGrid w:val="0"/>
              <w:spacing w:line="4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每100平方米计容积率面积</w:t>
            </w:r>
            <w:r>
              <w:rPr>
                <w:rFonts w:hint="default" w:ascii="Times New Roman" w:hAnsi="Times New Roman" w:eastAsia="仿宋_GB2312" w:cs="Times New Roman"/>
                <w:color w:val="000000"/>
                <w:szCs w:val="21"/>
              </w:rPr>
              <w:t>≥</w:t>
            </w:r>
            <w:r>
              <w:rPr>
                <w:rFonts w:hint="default" w:ascii="Times New Roman" w:hAnsi="Times New Roman" w:eastAsia="仿宋_GB2312" w:cs="Times New Roman"/>
                <w:szCs w:val="21"/>
              </w:rPr>
              <w:t>1个</w:t>
            </w:r>
          </w:p>
        </w:tc>
        <w:tc>
          <w:tcPr>
            <w:tcW w:w="933" w:type="dxa"/>
            <w:vAlign w:val="center"/>
          </w:tcPr>
          <w:p>
            <w:pPr>
              <w:ind w:leftChars="-51" w:right="-118" w:rightChars="-56" w:hanging="107" w:hangingChars="51"/>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15-20</w:t>
            </w:r>
          </w:p>
        </w:tc>
        <w:tc>
          <w:tcPr>
            <w:tcW w:w="1062" w:type="dxa"/>
            <w:vAlign w:val="center"/>
          </w:tcPr>
          <w:p>
            <w:pPr>
              <w:ind w:leftChars="-51" w:right="-118" w:rightChars="-56" w:hanging="107" w:hangingChars="51"/>
              <w:jc w:val="left"/>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通信设备、计算机及其他电子设备制造业</w:t>
            </w:r>
          </w:p>
        </w:tc>
        <w:tc>
          <w:tcPr>
            <w:tcW w:w="670" w:type="dxa"/>
            <w:vAlign w:val="center"/>
          </w:tcPr>
          <w:p>
            <w:pPr>
              <w:ind w:leftChars="-51" w:right="-118" w:rightChars="-56" w:hanging="107" w:hangingChars="51"/>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val="en-US" w:eastAsia="zh-CN"/>
              </w:rPr>
              <w:t>5</w:t>
            </w:r>
            <w:r>
              <w:rPr>
                <w:rFonts w:hint="default" w:ascii="Times New Roman" w:hAnsi="Times New Roman" w:eastAsia="仿宋_GB2312" w:cs="Times New Roman"/>
                <w:color w:val="000000"/>
                <w:szCs w:val="21"/>
              </w:rPr>
              <w:t>0年</w:t>
            </w:r>
          </w:p>
          <w:p>
            <w:pPr>
              <w:ind w:leftChars="-51" w:right="-118" w:rightChars="-56" w:hanging="107" w:hangingChars="51"/>
              <w:jc w:val="left"/>
              <w:rPr>
                <w:rFonts w:hint="default" w:ascii="Times New Roman" w:hAnsi="Times New Roman" w:eastAsia="仿宋_GB2312" w:cs="Times New Roman"/>
                <w:color w:val="000000"/>
                <w:szCs w:val="21"/>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273F4"/>
    <w:rsid w:val="02AF73FC"/>
    <w:rsid w:val="082B1937"/>
    <w:rsid w:val="0E7A65F6"/>
    <w:rsid w:val="101D3BC2"/>
    <w:rsid w:val="10BD4DFA"/>
    <w:rsid w:val="14055715"/>
    <w:rsid w:val="167673A1"/>
    <w:rsid w:val="17AA0480"/>
    <w:rsid w:val="188D227F"/>
    <w:rsid w:val="1A0B2C56"/>
    <w:rsid w:val="1E862B6D"/>
    <w:rsid w:val="1ED21060"/>
    <w:rsid w:val="20ED2229"/>
    <w:rsid w:val="22890C8D"/>
    <w:rsid w:val="28774868"/>
    <w:rsid w:val="2A870225"/>
    <w:rsid w:val="304C7078"/>
    <w:rsid w:val="35335FA2"/>
    <w:rsid w:val="36061489"/>
    <w:rsid w:val="38BD14D1"/>
    <w:rsid w:val="40231E47"/>
    <w:rsid w:val="40363F40"/>
    <w:rsid w:val="43706132"/>
    <w:rsid w:val="538C505C"/>
    <w:rsid w:val="57C844D5"/>
    <w:rsid w:val="596A13D8"/>
    <w:rsid w:val="5AF873B7"/>
    <w:rsid w:val="5D241B5A"/>
    <w:rsid w:val="5E3D3DE2"/>
    <w:rsid w:val="60090134"/>
    <w:rsid w:val="692A6240"/>
    <w:rsid w:val="6EB83079"/>
    <w:rsid w:val="6F4B3B48"/>
    <w:rsid w:val="701C6DA1"/>
    <w:rsid w:val="71C8333B"/>
    <w:rsid w:val="739C4FF2"/>
    <w:rsid w:val="761352C3"/>
    <w:rsid w:val="7D060077"/>
    <w:rsid w:val="7DF64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Administrator</cp:lastModifiedBy>
  <cp:lastPrinted>2020-10-20T07:50:00Z</cp:lastPrinted>
  <dcterms:modified xsi:type="dcterms:W3CDTF">2020-11-09T01:16:32Z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