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spacing w:line="520" w:lineRule="exact"/>
        <w:ind w:firstLine="640" w:firstLineChars="200"/>
        <w:jc w:val="center"/>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20</w:t>
      </w:r>
      <w:r>
        <w:rPr>
          <w:rFonts w:hint="eastAsia" w:ascii="仿宋_GB2312" w:eastAsia="仿宋_GB2312"/>
          <w:sz w:val="32"/>
          <w:szCs w:val="32"/>
        </w:rPr>
        <w:t>]</w:t>
      </w:r>
      <w:r>
        <w:rPr>
          <w:rFonts w:hint="eastAsia" w:ascii="仿宋_GB2312" w:eastAsia="仿宋_GB2312"/>
          <w:sz w:val="32"/>
          <w:szCs w:val="32"/>
          <w:lang w:val="en-US" w:eastAsia="zh-CN"/>
        </w:rPr>
        <w:t>045</w:t>
      </w:r>
      <w:r>
        <w:rPr>
          <w:rFonts w:hint="eastAsia" w:ascii="仿宋_GB2312" w:eastAsia="仿宋_GB2312"/>
          <w:sz w:val="32"/>
          <w:szCs w:val="32"/>
        </w:rPr>
        <w:t>号</w:t>
      </w:r>
    </w:p>
    <w:p>
      <w:pPr>
        <w:spacing w:line="520" w:lineRule="exact"/>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根据国土资源部令第39号《招标拍卖挂牌出让国有建设用地使用权规定》和广东省人民政府令第79号《广东省土地使用权交易市场管理规定》的规定，经惠州市人民政府批准，惠州市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三、挂牌起始价为人民币</w:t>
      </w:r>
      <w:r>
        <w:rPr>
          <w:rFonts w:hint="eastAsia" w:ascii="仿宋_GB2312" w:hAnsi="仿宋" w:eastAsia="仿宋_GB2312"/>
          <w:sz w:val="32"/>
          <w:szCs w:val="32"/>
          <w:lang w:val="en-US" w:eastAsia="zh-CN"/>
        </w:rPr>
        <w:t>2260</w:t>
      </w:r>
      <w:r>
        <w:rPr>
          <w:rFonts w:hint="eastAsia" w:ascii="仿宋_GB2312" w:hAnsi="仿宋_GB2312" w:eastAsia="仿宋_GB2312" w:cs="仿宋_GB2312"/>
          <w:sz w:val="32"/>
          <w:szCs w:val="32"/>
        </w:rPr>
        <w:t>万元,每次报价加价幅度为人民币</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万元的整数倍。</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Times New Roman" w:hAnsi="Times New Roman"/>
          <w:lang w:val="en-US" w:eastAsia="zh-CN"/>
        </w:rPr>
        <w:t>（即竞得人必须是新公司的唯一股东）</w:t>
      </w:r>
      <w:r>
        <w:rPr>
          <w:rFonts w:hint="default" w:ascii="Times New Roman" w:hAnsi="Times New Roman"/>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lang w:val="en-US" w:eastAsia="zh-CN"/>
        </w:rPr>
        <w:t>五</w:t>
      </w:r>
      <w:r>
        <w:rPr>
          <w:rFonts w:hint="eastAsia" w:hAnsi="仿宋_GB2312" w:cs="仿宋_GB2312"/>
          <w:szCs w:val="32"/>
        </w:rPr>
        <w:t>、申请人应具备的其他条件：</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（一）缴交竞买保证金</w:t>
      </w:r>
      <w:r>
        <w:rPr>
          <w:rFonts w:hint="eastAsia" w:hAnsi="仿宋"/>
          <w:kern w:val="2"/>
          <w:szCs w:val="32"/>
          <w:lang w:val="en-US" w:eastAsia="zh-CN"/>
        </w:rPr>
        <w:t>678</w:t>
      </w:r>
      <w:r>
        <w:rPr>
          <w:rFonts w:hint="eastAsia" w:hAnsi="仿宋_GB2312" w:cs="仿宋_GB2312"/>
          <w:szCs w:val="32"/>
        </w:rPr>
        <w:t>万元人民币。</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（二）竞得人在用地红线内开发建设必须符合城市规划要求，必须按上述建设方案的要求进行规划设计。</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三</w:t>
      </w:r>
      <w:r>
        <w:rPr>
          <w:rFonts w:hint="eastAsia" w:hAnsi="仿宋_GB2312" w:cs="仿宋_GB2312"/>
          <w:szCs w:val="32"/>
        </w:rPr>
        <w:t>）存在下列违法违规违约行为之一的企业及其控股股东，不得参与竞买上述地块：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因企业原因造成土地闲置一年以上的单位不得参与竞买上述地块。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存在伪造公文骗取用地和非法倒卖土地等犯罪行为的单位不得参与竞买上述地块。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存在非法转让土地使用权等违法行为的单位不得参与竞买上述地块。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开发建设企业违背出让合同约定条件开发利用土地的单位不得参与竞买上述地块。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拖欠政府地价款的单位不得参与竞买上述地块。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六、本次国有建设用地使用权网上挂牌出让为无底价挂牌出让，按照价高者得的原则确定竞得人。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七、本次网上挂牌出让的详细资料和具体要求，见惠州市公共资源交易中心土地与矿业网上挂牌交易系统（https://www.hzgtjy.com/）。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八、有意竞买者可以自行到地块现场踏勘（可在网上挂牌交易系统查阅位置图和现状图）。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九、申请人应当在网上挂牌出让结束前登陆惠州市公共资源交易中心土地与矿业网上挂牌交易系统并在系统上向惠州市公共资源交易中心提交竞买申请并支付保证金。网上挂牌保证金到账截止时间为2020年12月11日上午9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十、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E/>
        <w:autoSpaceDN/>
        <w:bidi w:val="0"/>
        <w:adjustRightInd/>
        <w:snapToGrid/>
        <w:spacing w:line="560" w:lineRule="exact"/>
        <w:ind w:firstLine="555"/>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十一、竞得人签订《成交确认书》后，缴交的保证金中按成交价的20%转作定金，竞得人签订《出让合同》后，定金转作土地出让价款。</w:t>
      </w:r>
    </w:p>
    <w:p>
      <w:pPr>
        <w:keepNext w:val="0"/>
        <w:keepLines w:val="0"/>
        <w:pageBreakBefore w:val="0"/>
        <w:widowControl w:val="0"/>
        <w:kinsoku/>
        <w:wordWrap/>
        <w:overflowPunct/>
        <w:topLinePunct w:val="0"/>
        <w:autoSpaceDE/>
        <w:autoSpaceDN/>
        <w:bidi w:val="0"/>
        <w:adjustRightInd/>
        <w:snapToGrid/>
        <w:spacing w:line="560" w:lineRule="exact"/>
        <w:ind w:firstLine="555"/>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保证金少于成交价20%的，不足部分由竞得人在签订《成交确认书》之日起5个工作日内付清。</w:t>
      </w:r>
    </w:p>
    <w:p>
      <w:pPr>
        <w:keepNext w:val="0"/>
        <w:keepLines w:val="0"/>
        <w:pageBreakBefore w:val="0"/>
        <w:widowControl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十二、其它需要公告的事项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（一）开发投资总额不少于27000万元（含地价）。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（二）土地成交价款须以人民币支付,竞得人在签订《出让合同》之日起30日内付清全部成交价款。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（三）竞买人须提交惠城区发改局出具的与该宗地块规划确定的产业类型一致的优先发展产业项目文件。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（四）该地权利清晰，安置补偿落实到位，没有法律经济纠纷，具备动工开发所必须的基本条件。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（五）项目规划建设方案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所报总平面图的主要技术经济指标：规划布局3栋厂房、1栋办公楼、1栋宿舍楼，计算指标用地面积22868平方米，建筑层数地上最高15层（建筑高度最高50米，使用功能为宿舍），计容积率总建筑面积59456.8平方米（其中行政办公及生活服务设施建筑面积11891.36平方米，占比20%），容积率2.6 ，建筑密度 35%（其中行政办公设施用地面积1600平方米，占比7%），绿地率15%，停车位350个（其中地上30个、地下 320个），各项指标满足《建设用地规划设计条件》（HCPB20200007)要求，原则上建设单位须按照纳入出让条件的建设工程设计方案进行建设，职能部门不再进行二次审查。如建设单位因特殊工艺要求或其他不可控因素确需对建设工程设计方案进行修改的，不得违反条件告知书强制性内容，按照免审、快审或正常报建审查等程序办理。建设单位须同步做好管线综合设计报审，建筑设计须符合国家、省、市有关绿色建筑和建筑节能方面的技术规范和标准，须按海绵城市设计要求做好设计及施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2、建设项目平面布置图详见附件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（六）招商条件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投资强度不低于11608元/平方米，土地产出率（营业收入）不低于26739元/平方米/年，税收产出不低于1300元/平方米/年。其中，土地产出率及税收产出，在项目投产后3年内逐年考核，3年内的平均值不得低于上述标准。项目须在正式签订建设用地交地确认书后3个月内动工建设，2年内竣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经惠城区人民政府审批同意，并符合惠城区产业发展方向及项目入区审核标准。本宗地交付乙方后,乙方须向惠城区高新科技产业园管委会提交项目投资计划书和时间安排表，并按月向惠城区高新科技产业园管委会书面报告项目进展情况，直至项目投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（七）竞得人在签订《成交确认书》前，须与惠城区高新科技产业园管委会签订《惠城区工业项目土地建设和使用监管协议书》，并由惠城区高新科技产业园管委会对项目用地实施批后监管。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（八）竞得人有下列行为之一的，视为违约，取消竞得人资格，没收保证金,并由有关部门依法处理;造成损失的，竞得人还应依法承担赔偿责任：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1、不符合竞买资格条件的；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2、采取行贿、恶意串通等非法手段竞得的；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3、竞得人以其他非法手段竞得的；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4、竞得人逾期或拒绝签订《成交确认书》的；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5、竞得人逾期或拒绝签订《出让合同》的；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7、构成违约责任的其他行为。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（九）挂牌出让价款不含应由竞得人缴纳的契税、印花税等有关费用。</w:t>
      </w:r>
    </w:p>
    <w:p>
      <w:pPr>
        <w:keepNext w:val="0"/>
        <w:keepLines w:val="0"/>
        <w:pageBreakBefore w:val="0"/>
        <w:widowControl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十三、该宗地使用网上挂牌方式出让，交易全程适用《惠州市国有建设用地使用权和矿业权电子挂牌交易规则》（惠府〔2014〕167号）。</w:t>
      </w:r>
    </w:p>
    <w:p>
      <w:pPr>
        <w:keepNext w:val="0"/>
        <w:keepLines w:val="0"/>
        <w:pageBreakBefore w:val="0"/>
        <w:widowControl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十四、联系方式：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（一）惠州市惠城区自然资源局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地址：惠州市下埔路16号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联系人：陈镇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联系电话：（0752）2117378</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惠州市公共资源交易中心土地矿业交易部</w:t>
      </w:r>
      <w:r>
        <w:rPr>
          <w:rFonts w:hint="eastAsia" w:ascii="仿宋_GB2312" w:hAnsi="仿宋_GB2312" w:eastAsia="仿宋_GB2312" w:cs="仿宋_GB2312"/>
          <w:kern w:val="0"/>
          <w:sz w:val="32"/>
          <w:szCs w:val="32"/>
          <w:lang w:val="en-US" w:eastAsia="zh-CN" w:bidi="ar-SA"/>
        </w:rPr>
        <w:br w:type="textWrapping"/>
      </w:r>
      <w:r>
        <w:rPr>
          <w:rFonts w:hint="eastAsia" w:ascii="仿宋_GB2312" w:hAnsi="仿宋_GB2312" w:eastAsia="仿宋_GB2312" w:cs="仿宋_GB2312"/>
          <w:kern w:val="0"/>
          <w:sz w:val="32"/>
          <w:szCs w:val="32"/>
          <w:lang w:val="en-US" w:eastAsia="zh-CN" w:bidi="ar-SA"/>
        </w:rPr>
        <w:t xml:space="preserve">    联系地址：广东省惠州市江北文华一路2号大隆大厦6楼</w:t>
      </w:r>
      <w:r>
        <w:rPr>
          <w:rFonts w:hint="eastAsia" w:ascii="仿宋_GB2312" w:hAnsi="仿宋_GB2312" w:eastAsia="仿宋_GB2312" w:cs="仿宋_GB2312"/>
          <w:kern w:val="0"/>
          <w:sz w:val="32"/>
          <w:szCs w:val="32"/>
          <w:lang w:val="en-US" w:eastAsia="zh-CN" w:bidi="ar-SA"/>
        </w:rPr>
        <w:br w:type="textWrapping"/>
      </w:r>
      <w:r>
        <w:rPr>
          <w:rFonts w:hint="eastAsia" w:ascii="仿宋_GB2312" w:hAnsi="仿宋_GB2312" w:eastAsia="仿宋_GB2312" w:cs="仿宋_GB2312"/>
          <w:kern w:val="0"/>
          <w:sz w:val="32"/>
          <w:szCs w:val="32"/>
          <w:lang w:val="en-US" w:eastAsia="zh-CN" w:bidi="ar-SA"/>
        </w:rPr>
        <w:t xml:space="preserve">    联系人：袁小姐、黄小姐</w:t>
      </w:r>
    </w:p>
    <w:p>
      <w:pPr>
        <w:keepNext w:val="0"/>
        <w:keepLines w:val="0"/>
        <w:pageBreakBefore w:val="0"/>
        <w:widowControl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联系电话：（0752）7121026、7121042</w:t>
      </w:r>
    </w:p>
    <w:p>
      <w:pPr>
        <w:keepNext w:val="0"/>
        <w:keepLines w:val="0"/>
        <w:pageBreakBefore w:val="0"/>
        <w:widowControl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注：本公告同时在下列网站及场所发布</w:t>
      </w:r>
    </w:p>
    <w:p>
      <w:pPr>
        <w:keepNext w:val="0"/>
        <w:keepLines w:val="0"/>
        <w:pageBreakBefore w:val="0"/>
        <w:widowControl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中国土地市场网: http://www.landchina.com</w:t>
      </w:r>
    </w:p>
    <w:p>
      <w:pPr>
        <w:keepNext w:val="0"/>
        <w:keepLines w:val="0"/>
        <w:pageBreakBefore w:val="0"/>
        <w:widowControl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广东省土地市场网：</w:t>
      </w: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HYPERLINK "http://www.landgd.com"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http://www.landgd.com</w:t>
      </w:r>
      <w:r>
        <w:rPr>
          <w:rFonts w:hint="eastAsia" w:ascii="仿宋_GB2312" w:hAnsi="仿宋_GB2312" w:eastAsia="仿宋_GB2312" w:cs="仿宋_GB2312"/>
          <w:kern w:val="0"/>
          <w:sz w:val="32"/>
          <w:szCs w:val="32"/>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惠州市自然资源局网站：http://land.huizhou.gov.cn</w:t>
      </w:r>
    </w:p>
    <w:p>
      <w:pPr>
        <w:keepNext w:val="0"/>
        <w:keepLines w:val="0"/>
        <w:pageBreakBefore w:val="0"/>
        <w:widowControl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惠州市公共资源交易中心网：</w:t>
      </w: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HYPERLINK "http://zyjy.huizhou.gov.cn"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http://zyjy.huizhou.gov.cn</w:t>
      </w:r>
      <w:r>
        <w:rPr>
          <w:rFonts w:hint="eastAsia" w:ascii="仿宋_GB2312" w:hAnsi="仿宋_GB2312" w:eastAsia="仿宋_GB2312" w:cs="仿宋_GB2312"/>
          <w:kern w:val="0"/>
          <w:sz w:val="32"/>
          <w:szCs w:val="32"/>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惠州市公共资源交易中心交易大厅现场。</w:t>
      </w:r>
    </w:p>
    <w:p>
      <w:pPr>
        <w:keepNext w:val="0"/>
        <w:keepLines w:val="0"/>
        <w:pageBreakBefore w:val="0"/>
        <w:widowControl w:val="0"/>
        <w:kinsoku/>
        <w:wordWrap/>
        <w:overflowPunct/>
        <w:topLinePunct w:val="0"/>
        <w:autoSpaceDE/>
        <w:autoSpaceDN/>
        <w:bidi w:val="0"/>
        <w:adjustRightInd/>
        <w:snapToGrid/>
        <w:spacing w:line="560" w:lineRule="exact"/>
        <w:ind w:firstLine="555"/>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惠州日报。</w:t>
      </w:r>
    </w:p>
    <w:p>
      <w:pPr>
        <w:keepNext w:val="0"/>
        <w:keepLines w:val="0"/>
        <w:pageBreakBefore w:val="0"/>
        <w:widowControl w:val="0"/>
        <w:kinsoku/>
        <w:wordWrap/>
        <w:overflowPunct/>
        <w:topLinePunct w:val="0"/>
        <w:autoSpaceDE/>
        <w:autoSpaceDN/>
        <w:bidi w:val="0"/>
        <w:adjustRightInd/>
        <w:snapToGrid/>
        <w:spacing w:line="560" w:lineRule="exact"/>
        <w:ind w:left="487" w:leftChars="232"/>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数字证书办理地址：惠州市江北云山西路二号帝景国际商务中心七层18-22房。</w:t>
      </w:r>
    </w:p>
    <w:p>
      <w:pPr>
        <w:keepNext w:val="0"/>
        <w:keepLines w:val="0"/>
        <w:pageBreakBefore w:val="0"/>
        <w:widowControl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联系电话：0752-2898481</w:t>
      </w:r>
    </w:p>
    <w:p>
      <w:pPr>
        <w:keepNext w:val="0"/>
        <w:keepLines w:val="0"/>
        <w:pageBreakBefore w:val="0"/>
        <w:widowControl w:val="0"/>
        <w:kinsoku/>
        <w:wordWrap/>
        <w:overflowPunct/>
        <w:topLinePunct w:val="0"/>
        <w:autoSpaceDE/>
        <w:autoSpaceDN/>
        <w:bidi w:val="0"/>
        <w:spacing w:line="560" w:lineRule="exact"/>
        <w:ind w:right="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right="640" w:firstLine="5033" w:firstLineChars="1573"/>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555"/>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惠城区</w:t>
      </w:r>
      <w:r>
        <w:rPr>
          <w:rFonts w:hint="eastAsia" w:ascii="仿宋_GB2312" w:hAnsi="仿宋_GB2312" w:eastAsia="仿宋_GB2312" w:cs="仿宋_GB2312"/>
          <w:sz w:val="32"/>
          <w:szCs w:val="32"/>
        </w:rPr>
        <w:t>自然资源局</w:t>
      </w:r>
    </w:p>
    <w:p>
      <w:pPr>
        <w:keepNext w:val="0"/>
        <w:keepLines w:val="0"/>
        <w:pageBreakBefore w:val="0"/>
        <w:widowControl w:val="0"/>
        <w:kinsoku/>
        <w:wordWrap/>
        <w:overflowPunct/>
        <w:topLinePunct w:val="0"/>
        <w:autoSpaceDE/>
        <w:autoSpaceDN/>
        <w:bidi w:val="0"/>
        <w:spacing w:line="560" w:lineRule="exact"/>
        <w:ind w:firstLine="555"/>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p>
    <w:p>
      <w:pPr>
        <w:keepNext w:val="0"/>
        <w:keepLines w:val="0"/>
        <w:pageBreakBefore w:val="0"/>
        <w:widowControl w:val="0"/>
        <w:kinsoku/>
        <w:wordWrap/>
        <w:overflowPunct/>
        <w:topLinePunct w:val="0"/>
        <w:autoSpaceDE/>
        <w:autoSpaceDN/>
        <w:bidi w:val="0"/>
        <w:spacing w:line="560" w:lineRule="exact"/>
        <w:ind w:firstLine="4681" w:firstLineChars="1463"/>
        <w:jc w:val="center"/>
        <w:textAlignment w:val="auto"/>
        <w:rPr>
          <w:rFonts w:hint="default" w:ascii="仿宋_GB2312" w:hAnsi="仿宋_GB2312" w:eastAsia="仿宋_GB2312" w:cs="仿宋_GB2312"/>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2020年11月6日</w:t>
      </w:r>
    </w:p>
    <w:p>
      <w:pPr>
        <w:spacing w:line="360" w:lineRule="auto"/>
        <w:rPr>
          <w:rFonts w:hint="eastAsia" w:ascii="黑体" w:hAnsi="黑体" w:eastAsia="黑体"/>
          <w:sz w:val="32"/>
          <w:szCs w:val="32"/>
        </w:rPr>
      </w:pPr>
      <w:r>
        <w:rPr>
          <w:rFonts w:hint="eastAsia" w:ascii="黑体" w:hAnsi="黑体" w:eastAsia="黑体"/>
          <w:sz w:val="32"/>
          <w:szCs w:val="32"/>
        </w:rPr>
        <w:t>附表</w:t>
      </w:r>
    </w:p>
    <w:p>
      <w:pPr>
        <w:tabs>
          <w:tab w:val="left" w:pos="9720"/>
        </w:tabs>
        <w:spacing w:line="360" w:lineRule="auto"/>
        <w:jc w:val="center"/>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tbl>
      <w:tblPr>
        <w:tblStyle w:val="8"/>
        <w:tblW w:w="10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50"/>
        <w:gridCol w:w="750"/>
        <w:gridCol w:w="675"/>
        <w:gridCol w:w="915"/>
        <w:gridCol w:w="807"/>
        <w:gridCol w:w="483"/>
        <w:gridCol w:w="1005"/>
        <w:gridCol w:w="1425"/>
        <w:gridCol w:w="1100"/>
        <w:gridCol w:w="933"/>
        <w:gridCol w:w="1062"/>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70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45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750"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规划编号</w:t>
            </w:r>
          </w:p>
        </w:tc>
        <w:tc>
          <w:tcPr>
            <w:tcW w:w="67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91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6815" w:type="dxa"/>
            <w:gridSpan w:val="7"/>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670"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705" w:type="dxa"/>
            <w:vMerge w:val="continue"/>
            <w:vAlign w:val="center"/>
          </w:tcPr>
          <w:p>
            <w:pPr>
              <w:adjustRightInd w:val="0"/>
              <w:snapToGrid w:val="0"/>
              <w:spacing w:line="320" w:lineRule="exact"/>
              <w:jc w:val="center"/>
              <w:rPr>
                <w:rFonts w:hint="eastAsia" w:ascii="仿宋_GB2312" w:eastAsia="仿宋_GB2312"/>
                <w:b/>
                <w:bCs/>
              </w:rPr>
            </w:pPr>
          </w:p>
        </w:tc>
        <w:tc>
          <w:tcPr>
            <w:tcW w:w="450" w:type="dxa"/>
            <w:vMerge w:val="continue"/>
            <w:vAlign w:val="center"/>
          </w:tcPr>
          <w:p>
            <w:pPr>
              <w:adjustRightInd w:val="0"/>
              <w:snapToGrid w:val="0"/>
              <w:spacing w:line="320" w:lineRule="exact"/>
              <w:jc w:val="center"/>
              <w:rPr>
                <w:rFonts w:hint="eastAsia" w:ascii="仿宋_GB2312" w:eastAsia="仿宋_GB2312"/>
                <w:b/>
                <w:bCs/>
              </w:rPr>
            </w:pPr>
          </w:p>
        </w:tc>
        <w:tc>
          <w:tcPr>
            <w:tcW w:w="750" w:type="dxa"/>
            <w:vMerge w:val="continue"/>
            <w:vAlign w:val="center"/>
          </w:tcPr>
          <w:p>
            <w:pPr>
              <w:adjustRightInd w:val="0"/>
              <w:snapToGrid w:val="0"/>
              <w:spacing w:line="320" w:lineRule="exact"/>
              <w:jc w:val="center"/>
              <w:rPr>
                <w:rFonts w:hint="eastAsia" w:ascii="仿宋_GB2312" w:eastAsia="仿宋_GB2312"/>
                <w:b/>
                <w:bCs/>
              </w:rPr>
            </w:pPr>
          </w:p>
        </w:tc>
        <w:tc>
          <w:tcPr>
            <w:tcW w:w="675" w:type="dxa"/>
            <w:vMerge w:val="continue"/>
            <w:vAlign w:val="center"/>
          </w:tcPr>
          <w:p>
            <w:pPr>
              <w:adjustRightInd w:val="0"/>
              <w:snapToGrid w:val="0"/>
              <w:spacing w:line="320" w:lineRule="exact"/>
              <w:jc w:val="center"/>
              <w:rPr>
                <w:rFonts w:hint="eastAsia" w:ascii="仿宋_GB2312" w:eastAsia="仿宋_GB2312"/>
                <w:b/>
                <w:bCs/>
              </w:rPr>
            </w:pPr>
          </w:p>
        </w:tc>
        <w:tc>
          <w:tcPr>
            <w:tcW w:w="915" w:type="dxa"/>
            <w:vMerge w:val="continue"/>
            <w:vAlign w:val="center"/>
          </w:tcPr>
          <w:p>
            <w:pPr>
              <w:adjustRightInd w:val="0"/>
              <w:snapToGrid w:val="0"/>
              <w:spacing w:line="320" w:lineRule="exact"/>
              <w:jc w:val="center"/>
              <w:rPr>
                <w:rFonts w:hint="eastAsia" w:ascii="仿宋_GB2312" w:eastAsia="仿宋_GB2312"/>
                <w:b/>
                <w:bCs/>
              </w:rPr>
            </w:pPr>
          </w:p>
        </w:tc>
        <w:tc>
          <w:tcPr>
            <w:tcW w:w="807"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483"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建筑密度</w:t>
            </w:r>
          </w:p>
          <w:p>
            <w:pPr>
              <w:autoSpaceDE w:val="0"/>
              <w:autoSpaceDN w:val="0"/>
              <w:adjustRightInd w:val="0"/>
              <w:spacing w:line="240" w:lineRule="exact"/>
              <w:jc w:val="center"/>
              <w:rPr>
                <w:rFonts w:hint="eastAsia" w:ascii="仿宋_GB2312" w:eastAsia="仿宋_GB2312"/>
                <w:b/>
                <w:bCs/>
                <w:szCs w:val="21"/>
              </w:rPr>
            </w:pPr>
            <w:r>
              <w:rPr>
                <w:rFonts w:hint="eastAsia" w:ascii="宋体" w:hAnsi="宋体" w:cs="宋体"/>
                <w:b/>
                <w:szCs w:val="21"/>
              </w:rPr>
              <w:t>（％）</w:t>
            </w:r>
          </w:p>
        </w:tc>
        <w:tc>
          <w:tcPr>
            <w:tcW w:w="1005"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p>
        </w:tc>
        <w:tc>
          <w:tcPr>
            <w:tcW w:w="1425"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1100"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rPr>
              <w:t>机动车停车位配建标准</w:t>
            </w:r>
          </w:p>
        </w:tc>
        <w:tc>
          <w:tcPr>
            <w:tcW w:w="933"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绿地率</w:t>
            </w:r>
          </w:p>
          <w:p>
            <w:pPr>
              <w:autoSpaceDE w:val="0"/>
              <w:autoSpaceDN w:val="0"/>
              <w:adjustRightInd w:val="0"/>
              <w:spacing w:line="240" w:lineRule="exact"/>
              <w:jc w:val="center"/>
              <w:rPr>
                <w:rFonts w:hint="eastAsia" w:eastAsia="仿宋_GB2312"/>
                <w:b/>
                <w:szCs w:val="21"/>
              </w:rPr>
            </w:pPr>
            <w:r>
              <w:rPr>
                <w:rFonts w:hint="eastAsia" w:ascii="宋体" w:hAnsi="宋体" w:cs="宋体"/>
                <w:b/>
                <w:szCs w:val="21"/>
              </w:rPr>
              <w:t>（％）</w:t>
            </w:r>
          </w:p>
        </w:tc>
        <w:tc>
          <w:tcPr>
            <w:tcW w:w="1062" w:type="dxa"/>
            <w:vAlign w:val="center"/>
          </w:tcPr>
          <w:p>
            <w:pPr>
              <w:autoSpaceDE w:val="0"/>
              <w:autoSpaceDN w:val="0"/>
              <w:adjustRightInd w:val="0"/>
              <w:spacing w:line="240" w:lineRule="exact"/>
              <w:jc w:val="center"/>
              <w:rPr>
                <w:rFonts w:hint="eastAsia" w:ascii="仿宋_GB2312" w:eastAsia="仿宋_GB2312"/>
                <w:b/>
                <w:bCs/>
                <w:lang w:eastAsia="zh-CN"/>
              </w:rPr>
            </w:pPr>
            <w:r>
              <w:rPr>
                <w:rFonts w:hint="eastAsia" w:ascii="仿宋_GB2312" w:eastAsia="仿宋_GB2312"/>
                <w:b/>
                <w:bCs/>
                <w:szCs w:val="21"/>
                <w:lang w:eastAsia="zh-CN"/>
              </w:rPr>
              <w:t>产业类型</w:t>
            </w:r>
          </w:p>
        </w:tc>
        <w:tc>
          <w:tcPr>
            <w:tcW w:w="670" w:type="dxa"/>
            <w:vMerge w:val="continue"/>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705" w:type="dxa"/>
            <w:tcMar>
              <w:left w:w="0" w:type="dxa"/>
              <w:right w:w="0" w:type="dxa"/>
            </w:tcMar>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GP2020-45</w:t>
            </w:r>
            <w:bookmarkStart w:id="0" w:name="_GoBack"/>
            <w:bookmarkEnd w:id="0"/>
          </w:p>
        </w:tc>
        <w:tc>
          <w:tcPr>
            <w:tcW w:w="450" w:type="dxa"/>
            <w:vAlign w:val="center"/>
          </w:tcPr>
          <w:p>
            <w:pPr>
              <w:jc w:val="center"/>
              <w:rPr>
                <w:rFonts w:hint="eastAsia" w:ascii="仿宋_GB2312" w:hAnsi="Times New Roman" w:eastAsia="仿宋_GB2312"/>
                <w:szCs w:val="21"/>
                <w:lang w:eastAsia="zh-CN"/>
              </w:rPr>
            </w:pPr>
            <w:r>
              <w:rPr>
                <w:rFonts w:hint="eastAsia" w:ascii="仿宋_GB2312" w:hAnsi="Times New Roman" w:eastAsia="仿宋_GB2312" w:cs="Times New Roman"/>
                <w:szCs w:val="21"/>
                <w:lang w:val="en-US" w:eastAsia="zh-CN"/>
              </w:rPr>
              <w:t>惠州市惠城区马安工业集中发展区（北）</w:t>
            </w:r>
          </w:p>
        </w:tc>
        <w:tc>
          <w:tcPr>
            <w:tcW w:w="75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MABY-01-28-02</w:t>
            </w:r>
          </w:p>
        </w:tc>
        <w:tc>
          <w:tcPr>
            <w:tcW w:w="675" w:type="dxa"/>
            <w:tcMar>
              <w:left w:w="0" w:type="dxa"/>
              <w:right w:w="0" w:type="dxa"/>
            </w:tcMar>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eastAsia="zh-CN"/>
              </w:rPr>
              <w:t>一类工业用地</w:t>
            </w:r>
          </w:p>
        </w:tc>
        <w:tc>
          <w:tcPr>
            <w:tcW w:w="915" w:type="dxa"/>
            <w:vAlign w:val="center"/>
          </w:tcPr>
          <w:p>
            <w:pPr>
              <w:jc w:val="center"/>
              <w:rPr>
                <w:rFonts w:hint="default" w:eastAsia="仿宋_GB2312"/>
                <w:szCs w:val="21"/>
                <w:lang w:val="en-US" w:eastAsia="zh-CN"/>
              </w:rPr>
            </w:pPr>
            <w:r>
              <w:rPr>
                <w:rFonts w:hint="eastAsia" w:ascii="仿宋_GB2312" w:hAnsi="Times New Roman" w:eastAsia="仿宋_GB2312" w:cs="Times New Roman"/>
                <w:szCs w:val="21"/>
                <w:lang w:val="en-US" w:eastAsia="zh-CN"/>
              </w:rPr>
              <w:t>20545.69</w:t>
            </w:r>
          </w:p>
        </w:tc>
        <w:tc>
          <w:tcPr>
            <w:tcW w:w="807" w:type="dxa"/>
            <w:vAlign w:val="center"/>
          </w:tcPr>
          <w:p>
            <w:pPr>
              <w:jc w:val="center"/>
              <w:rPr>
                <w:rFonts w:hint="default" w:eastAsia="仿宋_GB2312"/>
                <w:szCs w:val="21"/>
                <w:lang w:val="en-US" w:eastAsia="zh-CN"/>
              </w:rPr>
            </w:pPr>
            <w:r>
              <w:rPr>
                <w:rFonts w:hint="eastAsia" w:ascii="仿宋_GB2312" w:hAnsi="Times New Roman" w:eastAsia="仿宋_GB2312" w:cs="Times New Roman"/>
                <w:szCs w:val="21"/>
                <w:lang w:val="en-US" w:eastAsia="zh-CN"/>
              </w:rPr>
              <w:t>22868</w:t>
            </w:r>
          </w:p>
        </w:tc>
        <w:tc>
          <w:tcPr>
            <w:tcW w:w="483" w:type="dxa"/>
            <w:vAlign w:val="center"/>
          </w:tcPr>
          <w:p>
            <w:pPr>
              <w:adjustRightInd w:val="0"/>
              <w:snapToGrid w:val="0"/>
              <w:spacing w:line="400" w:lineRule="exact"/>
              <w:jc w:val="center"/>
              <w:rPr>
                <w:rFonts w:hint="default" w:ascii="仿宋_GB2312" w:hAnsi="Times New Roman" w:eastAsia="仿宋_GB2312"/>
                <w:szCs w:val="21"/>
                <w:lang w:val="en-US"/>
              </w:rPr>
            </w:pPr>
            <w:r>
              <w:rPr>
                <w:rFonts w:hint="eastAsia" w:ascii="仿宋_GB2312" w:hAnsi="仿宋_GB2312" w:eastAsia="仿宋_GB2312"/>
                <w:color w:val="000000"/>
                <w:szCs w:val="21"/>
                <w:lang w:val="en-US" w:eastAsia="zh-CN"/>
              </w:rPr>
              <w:t>≥35</w:t>
            </w:r>
          </w:p>
        </w:tc>
        <w:tc>
          <w:tcPr>
            <w:tcW w:w="1005" w:type="dxa"/>
            <w:vAlign w:val="center"/>
          </w:tcPr>
          <w:p>
            <w:pPr>
              <w:adjustRightInd w:val="0"/>
              <w:snapToGrid w:val="0"/>
              <w:spacing w:line="400" w:lineRule="exact"/>
              <w:jc w:val="center"/>
              <w:rPr>
                <w:rFonts w:hint="eastAsia" w:ascii="仿宋_GB2312" w:hAnsi="Times New Roman" w:eastAsia="仿宋_GB2312"/>
                <w:szCs w:val="21"/>
                <w:lang w:val="en-US" w:eastAsia="zh-CN"/>
              </w:rPr>
            </w:pPr>
            <w:r>
              <w:rPr>
                <w:rFonts w:hint="eastAsia" w:ascii="仿宋_GB2312" w:hAnsi="仿宋_GB2312" w:eastAsia="仿宋_GB2312" w:cs="仿宋_GB2312"/>
                <w:szCs w:val="21"/>
                <w:lang w:val="en-US" w:eastAsia="zh-CN"/>
              </w:rPr>
              <w:t>1.8-3.5</w:t>
            </w:r>
          </w:p>
        </w:tc>
        <w:tc>
          <w:tcPr>
            <w:tcW w:w="1425" w:type="dxa"/>
            <w:vAlign w:val="center"/>
          </w:tcPr>
          <w:p>
            <w:pPr>
              <w:adjustRightInd w:val="0"/>
              <w:snapToGrid w:val="0"/>
              <w:spacing w:line="400" w:lineRule="exact"/>
              <w:jc w:val="center"/>
              <w:rPr>
                <w:rFonts w:hint="default" w:ascii="仿宋_GB2312" w:hAnsi="Times New Roman" w:eastAsia="仿宋_GB2312"/>
                <w:szCs w:val="21"/>
                <w:lang w:val="en-US"/>
              </w:rPr>
            </w:pPr>
            <w:r>
              <w:rPr>
                <w:rFonts w:hint="eastAsia" w:ascii="仿宋_GB2312" w:hAnsi="仿宋_GB2312" w:eastAsia="仿宋_GB2312" w:cs="仿宋_GB2312"/>
                <w:szCs w:val="21"/>
                <w:lang w:val="en-US" w:eastAsia="zh-CN"/>
              </w:rPr>
              <w:t>41163-80038</w:t>
            </w:r>
          </w:p>
        </w:tc>
        <w:tc>
          <w:tcPr>
            <w:tcW w:w="1100" w:type="dxa"/>
            <w:vAlign w:val="center"/>
          </w:tcPr>
          <w:p>
            <w:pPr>
              <w:adjustRightInd w:val="0"/>
              <w:snapToGrid w:val="0"/>
              <w:spacing w:line="400" w:lineRule="exact"/>
              <w:jc w:val="center"/>
              <w:rPr>
                <w:rFonts w:hint="default" w:ascii="仿宋_GB2312" w:hAnsi="Times New Roman" w:eastAsia="仿宋_GB2312"/>
                <w:szCs w:val="21"/>
                <w:lang w:val="en-US" w:eastAsia="zh-CN"/>
              </w:rPr>
            </w:pPr>
            <w:r>
              <w:rPr>
                <w:rFonts w:hint="eastAsia" w:ascii="仿宋_GB2312" w:hAnsi="仿宋_GB2312" w:eastAsia="仿宋_GB2312" w:cs="仿宋_GB2312"/>
                <w:szCs w:val="21"/>
              </w:rPr>
              <w:t>每100平方米计容积率面积</w:t>
            </w:r>
            <w:r>
              <w:rPr>
                <w:rFonts w:hint="eastAsia" w:ascii="仿宋_GB2312" w:hAnsi="仿宋_GB2312" w:eastAsia="仿宋_GB2312"/>
                <w:color w:val="000000"/>
                <w:szCs w:val="21"/>
              </w:rPr>
              <w:t>≥</w:t>
            </w:r>
            <w:r>
              <w:rPr>
                <w:rFonts w:hint="eastAsia" w:ascii="仿宋_GB2312" w:hAnsi="仿宋_GB2312" w:eastAsia="仿宋_GB2312" w:cs="仿宋_GB2312"/>
                <w:szCs w:val="21"/>
              </w:rPr>
              <w:t>1个</w:t>
            </w:r>
          </w:p>
        </w:tc>
        <w:tc>
          <w:tcPr>
            <w:tcW w:w="933" w:type="dxa"/>
            <w:vAlign w:val="center"/>
          </w:tcPr>
          <w:p>
            <w:pPr>
              <w:ind w:leftChars="-51" w:right="-118" w:rightChars="-56" w:hanging="107" w:hangingChars="51"/>
              <w:jc w:val="center"/>
              <w:rPr>
                <w:rFonts w:hint="eastAsia" w:ascii="仿宋_GB2312" w:hAnsi="Times New Roman" w:eastAsia="仿宋_GB2312"/>
                <w:szCs w:val="21"/>
              </w:rPr>
            </w:pPr>
            <w:r>
              <w:rPr>
                <w:rFonts w:hint="eastAsia" w:ascii="仿宋_GB2312" w:hAnsi="仿宋_GB2312" w:eastAsia="仿宋_GB2312" w:cs="仿宋_GB2312"/>
                <w:szCs w:val="21"/>
                <w:lang w:val="en-US" w:eastAsia="zh-CN"/>
              </w:rPr>
              <w:t>15-</w:t>
            </w:r>
            <w:r>
              <w:rPr>
                <w:rFonts w:hint="eastAsia" w:ascii="仿宋_GB2312" w:hAnsi="Times New Roman" w:eastAsia="仿宋_GB2312"/>
                <w:szCs w:val="21"/>
                <w:lang w:val="en-US" w:eastAsia="zh-CN"/>
              </w:rPr>
              <w:t>20</w:t>
            </w:r>
          </w:p>
        </w:tc>
        <w:tc>
          <w:tcPr>
            <w:tcW w:w="1062" w:type="dxa"/>
            <w:vAlign w:val="center"/>
          </w:tcPr>
          <w:p>
            <w:pPr>
              <w:ind w:leftChars="-51" w:right="-118" w:rightChars="-56" w:hanging="107" w:hangingChars="51"/>
              <w:jc w:val="left"/>
              <w:rPr>
                <w:rFonts w:hint="eastAsia" w:ascii="仿宋_GB2312" w:hAnsi="Times New Roman" w:eastAsia="仿宋_GB2312"/>
                <w:szCs w:val="21"/>
                <w:lang w:eastAsia="zh-CN"/>
              </w:rPr>
            </w:pPr>
            <w:r>
              <w:rPr>
                <w:rFonts w:hint="eastAsia" w:ascii="仿宋_GB2312" w:hAnsi="仿宋_GB2312" w:eastAsia="仿宋_GB2312" w:cs="Times New Roman"/>
                <w:color w:val="000000"/>
                <w:szCs w:val="21"/>
                <w:lang w:eastAsia="zh-CN"/>
              </w:rPr>
              <w:t>通信设备、计算机及其他电子设备制造业</w:t>
            </w:r>
            <w:r>
              <w:rPr>
                <w:rFonts w:hint="eastAsia" w:ascii="仿宋_GB2312" w:hAnsi="仿宋_GB2312" w:eastAsia="仿宋_GB2312" w:cs="Times New Roman"/>
                <w:color w:val="000000"/>
                <w:szCs w:val="21"/>
                <w:lang w:val="en-US" w:eastAsia="zh-CN"/>
              </w:rPr>
              <w:t>用地</w:t>
            </w:r>
          </w:p>
        </w:tc>
        <w:tc>
          <w:tcPr>
            <w:tcW w:w="670" w:type="dxa"/>
            <w:vAlign w:val="center"/>
          </w:tcPr>
          <w:p>
            <w:pPr>
              <w:ind w:leftChars="-51" w:right="-118" w:rightChars="-56" w:hanging="107" w:hangingChars="51"/>
              <w:jc w:val="center"/>
              <w:rPr>
                <w:rFonts w:hint="eastAsia" w:ascii="仿宋_GB2312" w:hAnsi="仿宋_GB2312" w:eastAsia="仿宋_GB2312"/>
                <w:color w:val="000000"/>
                <w:szCs w:val="21"/>
              </w:rPr>
            </w:pPr>
            <w:r>
              <w:rPr>
                <w:rFonts w:hint="eastAsia" w:ascii="仿宋_GB2312" w:hAnsi="仿宋_GB2312" w:eastAsia="仿宋_GB2312"/>
                <w:color w:val="000000"/>
                <w:szCs w:val="21"/>
                <w:lang w:val="en-US" w:eastAsia="zh-CN"/>
              </w:rPr>
              <w:t>5</w:t>
            </w:r>
            <w:r>
              <w:rPr>
                <w:rFonts w:hint="eastAsia" w:ascii="仿宋_GB2312" w:hAnsi="仿宋_GB2312" w:eastAsia="仿宋_GB2312"/>
                <w:color w:val="000000"/>
                <w:szCs w:val="21"/>
              </w:rPr>
              <w:t>0年</w:t>
            </w:r>
          </w:p>
          <w:p>
            <w:pPr>
              <w:ind w:leftChars="-51" w:right="-118" w:rightChars="-56" w:hanging="107" w:hangingChars="51"/>
              <w:jc w:val="left"/>
              <w:rPr>
                <w:rFonts w:hint="eastAsia" w:ascii="仿宋_GB2312" w:hAnsi="仿宋_GB2312" w:eastAsia="仿宋_GB2312"/>
                <w:color w:val="000000"/>
                <w:szCs w:val="21"/>
              </w:rPr>
            </w:pPr>
          </w:p>
        </w:tc>
      </w:tr>
    </w:tbl>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01486"/>
    <w:rsid w:val="082B1937"/>
    <w:rsid w:val="0E43504E"/>
    <w:rsid w:val="0E7A65F6"/>
    <w:rsid w:val="0EB47192"/>
    <w:rsid w:val="101D3BC2"/>
    <w:rsid w:val="10BD4DFA"/>
    <w:rsid w:val="167673A1"/>
    <w:rsid w:val="17AA0480"/>
    <w:rsid w:val="188D227F"/>
    <w:rsid w:val="1A0B2C56"/>
    <w:rsid w:val="1E862B6D"/>
    <w:rsid w:val="20ED2229"/>
    <w:rsid w:val="22890C8D"/>
    <w:rsid w:val="27037272"/>
    <w:rsid w:val="28774868"/>
    <w:rsid w:val="2A870225"/>
    <w:rsid w:val="304C7078"/>
    <w:rsid w:val="35335FA2"/>
    <w:rsid w:val="36061489"/>
    <w:rsid w:val="38BD14D1"/>
    <w:rsid w:val="3B0B3E52"/>
    <w:rsid w:val="3C324727"/>
    <w:rsid w:val="40231E47"/>
    <w:rsid w:val="40363F40"/>
    <w:rsid w:val="43706132"/>
    <w:rsid w:val="538C505C"/>
    <w:rsid w:val="57C844D5"/>
    <w:rsid w:val="596A13D8"/>
    <w:rsid w:val="5AF873B7"/>
    <w:rsid w:val="5D241B5A"/>
    <w:rsid w:val="692A6240"/>
    <w:rsid w:val="6EB83079"/>
    <w:rsid w:val="6F4B3B48"/>
    <w:rsid w:val="71C8333B"/>
    <w:rsid w:val="739C4FF2"/>
    <w:rsid w:val="761352C3"/>
    <w:rsid w:val="7D060077"/>
    <w:rsid w:val="7D452065"/>
    <w:rsid w:val="7DF64785"/>
    <w:rsid w:val="7E26651B"/>
    <w:rsid w:val="7E514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黄春枚</cp:lastModifiedBy>
  <cp:lastPrinted>2020-11-06T06:40:00Z</cp:lastPrinted>
  <dcterms:modified xsi:type="dcterms:W3CDTF">2020-11-06T08:33:33Z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