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056</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5130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1539</w:t>
      </w:r>
      <w:r>
        <w:rPr>
          <w:rFonts w:hint="eastAsia" w:hAnsi="仿宋_GB2312" w:cs="仿宋_GB2312"/>
          <w:szCs w:val="32"/>
        </w:rPr>
        <w:t>万元人民币。</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62000</w:t>
      </w:r>
      <w:r>
        <w:rPr>
          <w:rFonts w:hint="eastAsia" w:ascii="仿宋_GB2312" w:hAnsi="仿宋_GB2312" w:eastAsia="仿宋_GB2312" w:cs="仿宋_GB2312"/>
          <w:sz w:val="32"/>
          <w:szCs w:val="32"/>
        </w:rPr>
        <w:t>万元（含地价）。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9栋厂房，建筑层数地上最高10层地下1层，计算指标用地面积51819平方米，计容积率建筑面积156500平方米，容积率3.02，总基底面积17250平方米，建筑密度42%，停车位626个（地上100个，地下526个），绿地率33.3%。各项指标满足《建设用地规划设计条件》（PB20200151)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资强度不低于12000元/平方米，土地产出率（营业收入）不低于24000元/平方米/年，税收产出不低于1200元/平方米/年。其中，土地产出率及税收产出，在项目投产后3年内逐年考核，3年内的平均值不得低于上述标准。项目须在正式签订建设用地交地确认书后1个月内动工建设，2年内竣工。</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2021年12月29日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GP2020-56</w:t>
            </w:r>
          </w:p>
        </w:tc>
        <w:tc>
          <w:tcPr>
            <w:tcW w:w="45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惠州市惠城区水口青塘湖片区</w:t>
            </w:r>
          </w:p>
        </w:tc>
        <w:tc>
          <w:tcPr>
            <w:tcW w:w="75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JD-112-03</w:t>
            </w:r>
          </w:p>
        </w:tc>
        <w:tc>
          <w:tcPr>
            <w:tcW w:w="675"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39295.27</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51819</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1.8-</w:t>
            </w: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92375-181366</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行政办公及生活服务设施每100平方米计容积率建筑面积≥1个，厂房每100平方米计容积率建筑面积≥0.2个</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开发区、产业集聚区配套公共服务平台建设与服务业用</w:t>
            </w:r>
            <w:bookmarkStart w:id="0" w:name="_GoBack"/>
            <w:bookmarkEnd w:id="0"/>
            <w:r>
              <w:rPr>
                <w:rFonts w:hint="eastAsia" w:ascii="仿宋_GB2312" w:hAnsi="Times New Roman" w:eastAsia="仿宋_GB2312" w:cs="Times New Roman"/>
                <w:szCs w:val="21"/>
                <w:lang w:eastAsia="zh-CN"/>
              </w:rPr>
              <w:t>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19ED"/>
    <w:rsid w:val="07386886"/>
    <w:rsid w:val="082B1937"/>
    <w:rsid w:val="09785247"/>
    <w:rsid w:val="0D167AC3"/>
    <w:rsid w:val="0DF23899"/>
    <w:rsid w:val="0E7A65F6"/>
    <w:rsid w:val="101D3BC2"/>
    <w:rsid w:val="10BD4DFA"/>
    <w:rsid w:val="167673A1"/>
    <w:rsid w:val="17AA0480"/>
    <w:rsid w:val="188364E6"/>
    <w:rsid w:val="188D227F"/>
    <w:rsid w:val="1A0B2C56"/>
    <w:rsid w:val="1AA5305E"/>
    <w:rsid w:val="1C5904D7"/>
    <w:rsid w:val="1DE30B94"/>
    <w:rsid w:val="1E862B6D"/>
    <w:rsid w:val="20ED2229"/>
    <w:rsid w:val="22890C8D"/>
    <w:rsid w:val="28774868"/>
    <w:rsid w:val="2A870225"/>
    <w:rsid w:val="2B5D4967"/>
    <w:rsid w:val="304C7078"/>
    <w:rsid w:val="35335FA2"/>
    <w:rsid w:val="36061489"/>
    <w:rsid w:val="37607760"/>
    <w:rsid w:val="38BD14D1"/>
    <w:rsid w:val="3C13026D"/>
    <w:rsid w:val="40231E47"/>
    <w:rsid w:val="40363F40"/>
    <w:rsid w:val="43706132"/>
    <w:rsid w:val="4AE74DD0"/>
    <w:rsid w:val="4F861E18"/>
    <w:rsid w:val="51BA59DA"/>
    <w:rsid w:val="538C505C"/>
    <w:rsid w:val="57C844D5"/>
    <w:rsid w:val="596A13D8"/>
    <w:rsid w:val="5A7274FC"/>
    <w:rsid w:val="5AF873B7"/>
    <w:rsid w:val="5D241B5A"/>
    <w:rsid w:val="692A6240"/>
    <w:rsid w:val="6EB83079"/>
    <w:rsid w:val="6F4B3B48"/>
    <w:rsid w:val="72496E56"/>
    <w:rsid w:val="739E65CD"/>
    <w:rsid w:val="761352C3"/>
    <w:rsid w:val="77DD303C"/>
    <w:rsid w:val="7BEA0FB4"/>
    <w:rsid w:val="7D06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2020-12-29T01:14:00Z</cp:lastPrinted>
  <dcterms:modified xsi:type="dcterms:W3CDTF">2020-12-29T03:36:16Z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