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jc w:val="center"/>
        <w:rPr>
          <w:rFonts w:hint="default" w:ascii="仿宋_GB2312" w:eastAsia="仿宋_GB2312"/>
          <w:sz w:val="18"/>
          <w:szCs w:val="18"/>
          <w:lang w:val="en-US" w:eastAsia="zh-CN"/>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048</w:t>
      </w:r>
      <w:r>
        <w:rPr>
          <w:rFonts w:hint="eastAsia" w:ascii="仿宋_GB2312" w:eastAsia="仿宋_GB2312"/>
          <w:sz w:val="32"/>
          <w:szCs w:val="32"/>
        </w:rPr>
        <w:t>号</w:t>
      </w:r>
    </w:p>
    <w:p>
      <w:pPr>
        <w:spacing w:line="52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bookmarkStart w:id="0" w:name="_GoBack"/>
      <w:bookmarkEnd w:id="0"/>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宋体" w:eastAsia="仿宋_GB2312" w:cs="宋体"/>
          <w:color w:val="auto"/>
          <w:kern w:val="0"/>
          <w:sz w:val="32"/>
          <w:szCs w:val="32"/>
          <w:lang w:val="en-US" w:eastAsia="zh-CN"/>
        </w:rPr>
        <w:t>18380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5514</w:t>
      </w:r>
      <w:r>
        <w:rPr>
          <w:rFonts w:hint="eastAsia" w:hAnsi="仿宋_GB2312" w:cs="仿宋_GB2312"/>
          <w:szCs w:val="32"/>
        </w:rPr>
        <w:t>万元人民币。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hAnsi="仿宋_GB2312" w:cs="仿宋_GB2312"/>
          <w:sz w:val="32"/>
          <w:szCs w:val="32"/>
          <w:lang w:val="en-US" w:eastAsia="zh-CN"/>
        </w:rPr>
        <w:t>三</w:t>
      </w:r>
      <w:r>
        <w:rPr>
          <w:rFonts w:hint="eastAsia" w:ascii="仿宋_GB2312" w:hAnsi="仿宋_GB2312" w:eastAsia="仿宋_GB2312" w:cs="仿宋_GB2312"/>
          <w:sz w:val="32"/>
          <w:szCs w:val="32"/>
        </w:rPr>
        <w:t>）</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226000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 w:hAnsi="仿宋" w:eastAsia="仿宋"/>
          <w:sz w:val="32"/>
          <w:szCs w:val="32"/>
          <w:lang w:eastAsia="zh-CN"/>
        </w:rPr>
        <w:t>项目规划建设方案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所报总平面图的主要技术经济指标：规划布局30栋厂房、6栋宿舍楼，计算指标用地面积203872平方米，建筑层数地上最高27层（建筑高度为99.3米（不含女儿墙高度），使用功能为人才宿舍），计容积率总建筑面积711664.21平方米（其中行政办公及生活服务设施建筑面积112126.21平方米，占比15.76%），容积率3.49 ，建筑密度33%（其中行政办公设施基底面积6459平方米，占用地面积比3.2％），绿地率16%，停车位1916个（其中地上100个、地下1816个），各项指标满足《建设用地规划设计条件》（PB20200027)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w:t>
      </w:r>
      <w:r>
        <w:rPr>
          <w:rFonts w:hint="eastAsia" w:ascii="仿宋" w:hAnsi="仿宋" w:eastAsia="仿宋" w:cs="Times New Roman"/>
          <w:sz w:val="32"/>
          <w:szCs w:val="32"/>
          <w:lang w:eastAsia="zh-CN"/>
        </w:rPr>
        <w:t>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总投资规模不低于22.6亿元，投资强度不低于1</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13</w:t>
      </w:r>
      <w:r>
        <w:rPr>
          <w:rFonts w:hint="eastAsia" w:ascii="仿宋_GB2312" w:hAnsi="宋体" w:eastAsia="仿宋_GB2312" w:cs="宋体"/>
          <w:color w:val="auto"/>
          <w:kern w:val="0"/>
          <w:sz w:val="32"/>
          <w:szCs w:val="32"/>
          <w:lang w:eastAsia="zh-CN"/>
        </w:rPr>
        <w:t>亿</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公顷</w:t>
      </w:r>
      <w:r>
        <w:rPr>
          <w:rFonts w:hint="eastAsia" w:ascii="仿宋_GB2312" w:hAnsi="宋体" w:eastAsia="仿宋_GB2312" w:cs="宋体"/>
          <w:color w:val="auto"/>
          <w:kern w:val="0"/>
          <w:sz w:val="32"/>
          <w:szCs w:val="32"/>
        </w:rPr>
        <w:t>，土地产出率（营业收入）不低于6</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5</w:t>
      </w:r>
      <w:r>
        <w:rPr>
          <w:rFonts w:hint="eastAsia" w:ascii="仿宋_GB2312" w:hAnsi="宋体" w:eastAsia="仿宋_GB2312" w:cs="宋体"/>
          <w:color w:val="auto"/>
          <w:kern w:val="0"/>
          <w:sz w:val="32"/>
          <w:szCs w:val="32"/>
          <w:lang w:eastAsia="zh-CN"/>
        </w:rPr>
        <w:t>亿</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公顷</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0.12</w:t>
      </w:r>
      <w:r>
        <w:rPr>
          <w:rFonts w:hint="eastAsia" w:ascii="仿宋_GB2312" w:hAnsi="宋体" w:eastAsia="仿宋_GB2312" w:cs="宋体"/>
          <w:color w:val="auto"/>
          <w:kern w:val="0"/>
          <w:sz w:val="32"/>
          <w:szCs w:val="32"/>
          <w:lang w:eastAsia="zh-CN"/>
        </w:rPr>
        <w:t>亿元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公顷</w:t>
      </w:r>
      <w:r>
        <w:rPr>
          <w:rFonts w:hint="eastAsia" w:ascii="仿宋_GB2312" w:hAnsi="宋体" w:eastAsia="仿宋_GB2312" w:cs="宋体"/>
          <w:color w:val="auto"/>
          <w:kern w:val="0"/>
          <w:sz w:val="32"/>
          <w:szCs w:val="32"/>
        </w:rPr>
        <w:t>/年。其中，土地产出率及税收产出，以项目投产后3年内最高年度计算。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）竞得人在签订《成交确认书》前，须与惠城区高新科技产业园管委会签订《惠城区工业项目土地建设和使用监管协议书》，并由惠城区</w:t>
      </w:r>
      <w:r>
        <w:rPr>
          <w:rFonts w:hint="eastAsia" w:ascii="仿宋" w:hAnsi="仿宋" w:eastAsia="仿宋"/>
          <w:sz w:val="32"/>
          <w:szCs w:val="32"/>
          <w:lang w:eastAsia="zh-CN"/>
        </w:rPr>
        <w:t>水口街道办事处</w:t>
      </w:r>
      <w:r>
        <w:rPr>
          <w:rFonts w:hint="eastAsia" w:ascii="仿宋" w:hAnsi="仿宋" w:eastAsia="仿宋"/>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2020年11月9日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spacing w:line="360" w:lineRule="auto"/>
        <w:rPr>
          <w:rFonts w:hint="eastAsia" w:ascii="仿宋_GB2312" w:eastAsia="仿宋_GB2312"/>
          <w:sz w:val="32"/>
          <w:szCs w:val="32"/>
        </w:rPr>
      </w:pP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55"/>
        <w:gridCol w:w="561"/>
        <w:gridCol w:w="624"/>
        <w:gridCol w:w="924"/>
        <w:gridCol w:w="948"/>
        <w:gridCol w:w="720"/>
        <w:gridCol w:w="666"/>
        <w:gridCol w:w="1656"/>
        <w:gridCol w:w="876"/>
        <w:gridCol w:w="930"/>
        <w:gridCol w:w="103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5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561"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24"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2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831"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795"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555" w:type="dxa"/>
            <w:vMerge w:val="continue"/>
            <w:vAlign w:val="center"/>
          </w:tcPr>
          <w:p>
            <w:pPr>
              <w:adjustRightInd w:val="0"/>
              <w:snapToGrid w:val="0"/>
              <w:spacing w:line="320" w:lineRule="exact"/>
              <w:jc w:val="center"/>
              <w:rPr>
                <w:rFonts w:hint="eastAsia" w:ascii="仿宋_GB2312" w:eastAsia="仿宋_GB2312"/>
                <w:b/>
                <w:bCs/>
              </w:rPr>
            </w:pPr>
          </w:p>
        </w:tc>
        <w:tc>
          <w:tcPr>
            <w:tcW w:w="561" w:type="dxa"/>
            <w:vMerge w:val="continue"/>
            <w:vAlign w:val="center"/>
          </w:tcPr>
          <w:p>
            <w:pPr>
              <w:adjustRightInd w:val="0"/>
              <w:snapToGrid w:val="0"/>
              <w:spacing w:line="320" w:lineRule="exact"/>
              <w:jc w:val="center"/>
              <w:rPr>
                <w:rFonts w:hint="eastAsia" w:ascii="仿宋_GB2312" w:eastAsia="仿宋_GB2312"/>
                <w:b/>
                <w:bCs/>
              </w:rPr>
            </w:pPr>
          </w:p>
        </w:tc>
        <w:tc>
          <w:tcPr>
            <w:tcW w:w="624" w:type="dxa"/>
            <w:vMerge w:val="continue"/>
            <w:vAlign w:val="center"/>
          </w:tcPr>
          <w:p>
            <w:pPr>
              <w:adjustRightInd w:val="0"/>
              <w:snapToGrid w:val="0"/>
              <w:spacing w:line="320" w:lineRule="exact"/>
              <w:jc w:val="center"/>
              <w:rPr>
                <w:rFonts w:hint="eastAsia" w:ascii="仿宋_GB2312" w:eastAsia="仿宋_GB2312"/>
                <w:b/>
                <w:bCs/>
              </w:rPr>
            </w:pPr>
          </w:p>
        </w:tc>
        <w:tc>
          <w:tcPr>
            <w:tcW w:w="92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66"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6"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876"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3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103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lang w:val="en-US" w:eastAsia="zh-CN"/>
              </w:rPr>
              <w:t>产业类型</w:t>
            </w:r>
          </w:p>
        </w:tc>
        <w:tc>
          <w:tcPr>
            <w:tcW w:w="795"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GP2020-48</w:t>
            </w:r>
          </w:p>
        </w:tc>
        <w:tc>
          <w:tcPr>
            <w:tcW w:w="555" w:type="dxa"/>
            <w:vMerge w:val="restart"/>
            <w:vAlign w:val="center"/>
          </w:tcPr>
          <w:p>
            <w:pPr>
              <w:jc w:val="center"/>
              <w:rPr>
                <w:rFonts w:hint="default"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惠州市惠城区</w:t>
            </w:r>
          </w:p>
          <w:p>
            <w:pPr>
              <w:jc w:val="center"/>
              <w:rPr>
                <w:rFonts w:hint="eastAsia"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水口民营工业园</w:t>
            </w:r>
          </w:p>
        </w:tc>
        <w:tc>
          <w:tcPr>
            <w:tcW w:w="561" w:type="dxa"/>
            <w:vAlign w:val="center"/>
          </w:tcPr>
          <w:p>
            <w:pPr>
              <w:jc w:val="center"/>
              <w:rPr>
                <w:rFonts w:hint="eastAsia"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JD-131-12-01</w:t>
            </w:r>
          </w:p>
        </w:tc>
        <w:tc>
          <w:tcPr>
            <w:tcW w:w="624" w:type="dxa"/>
            <w:tcMar>
              <w:left w:w="0" w:type="dxa"/>
              <w:right w:w="0" w:type="dxa"/>
            </w:tcMar>
            <w:vAlign w:val="center"/>
          </w:tcPr>
          <w:p>
            <w:pPr>
              <w:jc w:val="center"/>
              <w:rPr>
                <w:rFonts w:hint="eastAsia"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一类工业用地</w:t>
            </w:r>
          </w:p>
        </w:tc>
        <w:tc>
          <w:tcPr>
            <w:tcW w:w="924" w:type="dxa"/>
            <w:vAlign w:val="center"/>
          </w:tcPr>
          <w:p>
            <w:pPr>
              <w:jc w:val="center"/>
              <w:rPr>
                <w:rFonts w:hint="default" w:eastAsia="仿宋_GB2312"/>
                <w:szCs w:val="21"/>
                <w:lang w:val="en-US" w:eastAsia="zh-CN"/>
              </w:rPr>
            </w:pPr>
            <w:r>
              <w:rPr>
                <w:rFonts w:hint="eastAsia" w:ascii="仿宋_GB2312" w:hAnsi="仿宋_GB2312" w:eastAsia="仿宋_GB2312"/>
                <w:color w:val="000000"/>
                <w:szCs w:val="21"/>
                <w:lang w:val="en-US" w:eastAsia="zh-CN"/>
              </w:rPr>
              <w:t>91254.69</w:t>
            </w:r>
          </w:p>
        </w:tc>
        <w:tc>
          <w:tcPr>
            <w:tcW w:w="948" w:type="dxa"/>
            <w:vAlign w:val="center"/>
          </w:tcPr>
          <w:p>
            <w:pPr>
              <w:jc w:val="center"/>
              <w:rPr>
                <w:rFonts w:hint="default" w:eastAsia="仿宋_GB2312"/>
                <w:szCs w:val="21"/>
                <w:lang w:val="en-US" w:eastAsia="zh-CN"/>
              </w:rPr>
            </w:pPr>
            <w:r>
              <w:rPr>
                <w:rFonts w:hint="eastAsia" w:ascii="仿宋_GB2312" w:hAnsi="仿宋_GB2312" w:eastAsia="仿宋_GB2312"/>
                <w:color w:val="000000"/>
                <w:szCs w:val="21"/>
                <w:lang w:val="en-US" w:eastAsia="zh-CN"/>
              </w:rPr>
              <w:t>103546</w:t>
            </w:r>
          </w:p>
        </w:tc>
        <w:tc>
          <w:tcPr>
            <w:tcW w:w="720" w:type="dxa"/>
            <w:vAlign w:val="center"/>
          </w:tcPr>
          <w:p>
            <w:pPr>
              <w:adjustRightInd w:val="0"/>
              <w:snapToGrid w:val="0"/>
              <w:spacing w:line="400" w:lineRule="exact"/>
              <w:jc w:val="center"/>
              <w:rPr>
                <w:rFonts w:hint="default" w:ascii="仿宋_GB2312" w:hAnsi="Times New Roman" w:eastAsia="仿宋_GB2312"/>
                <w:szCs w:val="21"/>
                <w:lang w:val="en-US"/>
              </w:rPr>
            </w:pPr>
            <w:r>
              <w:rPr>
                <w:rFonts w:hint="eastAsia" w:ascii="仿宋_GB2312" w:hAnsi="仿宋_GB2312" w:eastAsia="仿宋_GB2312"/>
                <w:color w:val="000000"/>
                <w:szCs w:val="21"/>
              </w:rPr>
              <w:t>≥</w:t>
            </w:r>
            <w:r>
              <w:rPr>
                <w:rFonts w:hint="eastAsia" w:ascii="仿宋_GB2312" w:hAnsi="仿宋_GB2312" w:eastAsia="仿宋_GB2312"/>
                <w:color w:val="000000"/>
                <w:szCs w:val="21"/>
                <w:lang w:val="en-US" w:eastAsia="zh-CN"/>
              </w:rPr>
              <w:t>30</w:t>
            </w:r>
          </w:p>
        </w:tc>
        <w:tc>
          <w:tcPr>
            <w:tcW w:w="666" w:type="dxa"/>
            <w:vAlign w:val="center"/>
          </w:tcPr>
          <w:p>
            <w:pPr>
              <w:adjustRightInd w:val="0"/>
              <w:snapToGrid w:val="0"/>
              <w:spacing w:line="400" w:lineRule="exact"/>
              <w:jc w:val="both"/>
              <w:rPr>
                <w:rFonts w:hint="eastAsia" w:ascii="仿宋_GB2312" w:hAnsi="Times New Roman" w:eastAsia="仿宋_GB2312"/>
                <w:szCs w:val="21"/>
                <w:lang w:eastAsia="zh-CN"/>
              </w:rPr>
            </w:pPr>
            <w:r>
              <w:rPr>
                <w:rFonts w:hint="eastAsia" w:ascii="仿宋_GB2312" w:hAnsi="仿宋_GB2312" w:eastAsia="仿宋_GB2312" w:cs="仿宋_GB2312"/>
                <w:szCs w:val="21"/>
                <w:lang w:val="en-US" w:eastAsia="zh-CN"/>
              </w:rPr>
              <w:t>2.0-</w:t>
            </w:r>
            <w:r>
              <w:rPr>
                <w:rFonts w:ascii="仿宋_GB2312" w:hAnsi="仿宋_GB2312" w:eastAsia="仿宋_GB2312" w:cs="仿宋_GB2312"/>
                <w:szCs w:val="21"/>
              </w:rPr>
              <w:t>3.</w:t>
            </w:r>
            <w:r>
              <w:rPr>
                <w:rFonts w:hint="eastAsia" w:ascii="仿宋_GB2312" w:hAnsi="仿宋_GB2312" w:eastAsia="仿宋_GB2312" w:cs="仿宋_GB2312"/>
                <w:szCs w:val="21"/>
                <w:lang w:val="en-US" w:eastAsia="zh-CN"/>
              </w:rPr>
              <w:t>5</w:t>
            </w:r>
          </w:p>
        </w:tc>
        <w:tc>
          <w:tcPr>
            <w:tcW w:w="1656" w:type="dxa"/>
            <w:vAlign w:val="center"/>
          </w:tcPr>
          <w:p>
            <w:pPr>
              <w:adjustRightInd w:val="0"/>
              <w:snapToGrid w:val="0"/>
              <w:spacing w:line="400" w:lineRule="exact"/>
              <w:jc w:val="both"/>
              <w:rPr>
                <w:rFonts w:hint="eastAsia" w:ascii="仿宋_GB2312" w:hAnsi="Times New Roman" w:eastAsia="仿宋_GB2312"/>
                <w:szCs w:val="21"/>
              </w:rPr>
            </w:pPr>
            <w:r>
              <w:rPr>
                <w:rFonts w:hint="eastAsia" w:ascii="仿宋_GB2312" w:hAnsi="仿宋_GB2312" w:eastAsia="仿宋_GB2312" w:cs="仿宋_GB2312"/>
                <w:szCs w:val="21"/>
                <w:lang w:val="en-US" w:eastAsia="zh-CN"/>
              </w:rPr>
              <w:t>207092-362411</w:t>
            </w:r>
          </w:p>
        </w:tc>
        <w:tc>
          <w:tcPr>
            <w:tcW w:w="876" w:type="dxa"/>
            <w:vAlign w:val="center"/>
          </w:tcPr>
          <w:p>
            <w:pPr>
              <w:adjustRightInd w:val="0"/>
              <w:snapToGrid w:val="0"/>
              <w:spacing w:line="400" w:lineRule="exact"/>
              <w:jc w:val="center"/>
              <w:rPr>
                <w:rFonts w:hint="default" w:ascii="仿宋_GB2312" w:hAnsi="Times New Roman" w:eastAsia="仿宋_GB2312"/>
                <w:szCs w:val="21"/>
                <w:lang w:val="en-US" w:eastAsia="zh-CN"/>
              </w:rPr>
            </w:pPr>
            <w:r>
              <w:rPr>
                <w:rFonts w:hint="eastAsia" w:ascii="仿宋_GB2312" w:hAnsi="仿宋_GB2312" w:eastAsia="仿宋_GB2312" w:cs="仿宋_GB2312"/>
                <w:szCs w:val="21"/>
              </w:rPr>
              <w:t>每100平方米计容积率面积</w:t>
            </w:r>
            <w:r>
              <w:rPr>
                <w:rFonts w:hint="eastAsia" w:ascii="仿宋_GB2312" w:hAnsi="仿宋_GB2312" w:eastAsia="仿宋_GB2312"/>
                <w:color w:val="000000"/>
                <w:szCs w:val="21"/>
              </w:rPr>
              <w:t>≥</w:t>
            </w:r>
            <w:r>
              <w:rPr>
                <w:rFonts w:hint="eastAsia" w:ascii="仿宋_GB2312" w:hAnsi="仿宋_GB2312" w:eastAsia="仿宋_GB2312" w:cs="仿宋_GB2312"/>
                <w:szCs w:val="21"/>
                <w:lang w:val="en-US" w:eastAsia="zh-CN"/>
              </w:rPr>
              <w:t>0.2</w:t>
            </w:r>
            <w:r>
              <w:rPr>
                <w:rFonts w:hint="eastAsia" w:ascii="仿宋_GB2312" w:hAnsi="仿宋_GB2312" w:eastAsia="仿宋_GB2312" w:cs="仿宋_GB2312"/>
                <w:szCs w:val="21"/>
              </w:rPr>
              <w:t>个</w:t>
            </w:r>
          </w:p>
        </w:tc>
        <w:tc>
          <w:tcPr>
            <w:tcW w:w="930"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w:t>
            </w:r>
          </w:p>
          <w:p>
            <w:pPr>
              <w:adjustRightInd w:val="0"/>
              <w:snapToGrid w:val="0"/>
              <w:spacing w:line="4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20</w:t>
            </w:r>
          </w:p>
        </w:tc>
        <w:tc>
          <w:tcPr>
            <w:tcW w:w="1035" w:type="dxa"/>
            <w:vAlign w:val="center"/>
          </w:tcPr>
          <w:p>
            <w:pPr>
              <w:ind w:leftChars="-51" w:right="-118" w:rightChars="-56" w:hanging="107" w:hangingChars="51"/>
              <w:jc w:val="center"/>
              <w:rPr>
                <w:rFonts w:hint="eastAsia" w:ascii="仿宋_GB2312" w:hAnsi="Times New Roman" w:eastAsia="仿宋_GB2312"/>
                <w:szCs w:val="21"/>
                <w:lang w:eastAsia="zh-CN"/>
              </w:rPr>
            </w:pPr>
            <w:r>
              <w:rPr>
                <w:rFonts w:hint="eastAsia" w:ascii="仿宋_GB2312" w:hAnsi="仿宋_GB2312" w:eastAsia="仿宋_GB2312" w:cs="Times New Roman"/>
                <w:color w:val="000000"/>
                <w:szCs w:val="21"/>
                <w:lang w:val="en-US" w:eastAsia="zh-CN"/>
              </w:rPr>
              <w:t>5G智能制造产业</w:t>
            </w:r>
          </w:p>
        </w:tc>
        <w:tc>
          <w:tcPr>
            <w:tcW w:w="795" w:type="dxa"/>
            <w:vAlign w:val="center"/>
          </w:tcPr>
          <w:p>
            <w:pPr>
              <w:ind w:right="-118" w:rightChars="-56"/>
              <w:jc w:val="left"/>
              <w:rPr>
                <w:rFonts w:hint="eastAsia" w:ascii="仿宋_GB2312" w:hAnsi="仿宋_GB2312" w:eastAsia="仿宋_GB2312"/>
                <w:color w:val="000000"/>
                <w:szCs w:val="21"/>
              </w:rPr>
            </w:pPr>
            <w:r>
              <w:rPr>
                <w:rFonts w:hint="eastAsia" w:ascii="仿宋_GB2312" w:hAnsi="仿宋_GB2312" w:eastAsia="仿宋_GB2312"/>
                <w:color w:val="000000"/>
                <w:szCs w:val="21"/>
                <w:lang w:val="en-US" w:eastAsia="zh-CN"/>
              </w:rPr>
              <w:t>5</w:t>
            </w:r>
            <w:r>
              <w:rPr>
                <w:rFonts w:hint="eastAsia" w:ascii="仿宋_GB2312" w:hAnsi="仿宋_GB2312" w:eastAsia="仿宋_GB2312"/>
                <w:color w:val="000000"/>
                <w:szCs w:val="21"/>
              </w:rPr>
              <w:t>0年</w:t>
            </w:r>
          </w:p>
          <w:p>
            <w:pPr>
              <w:ind w:leftChars="-51" w:right="-118" w:rightChars="-56" w:hanging="107" w:hangingChars="51"/>
              <w:jc w:val="left"/>
              <w:rPr>
                <w:rFonts w:hint="eastAsia"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continue"/>
            <w:tcMar>
              <w:left w:w="0" w:type="dxa"/>
              <w:right w:w="0" w:type="dxa"/>
            </w:tcMar>
            <w:vAlign w:val="center"/>
          </w:tcPr>
          <w:p>
            <w:pPr>
              <w:jc w:val="center"/>
              <w:rPr>
                <w:rFonts w:hint="eastAsia" w:ascii="仿宋_GB2312" w:hAnsi="Times New Roman" w:eastAsia="仿宋_GB2312"/>
                <w:szCs w:val="21"/>
              </w:rPr>
            </w:pPr>
          </w:p>
        </w:tc>
        <w:tc>
          <w:tcPr>
            <w:tcW w:w="555" w:type="dxa"/>
            <w:vMerge w:val="continue"/>
            <w:vAlign w:val="center"/>
          </w:tcPr>
          <w:p>
            <w:pPr>
              <w:jc w:val="center"/>
              <w:rPr>
                <w:rFonts w:hint="eastAsia" w:ascii="仿宋_GB2312" w:hAnsi="仿宋_GB2312" w:eastAsia="仿宋_GB2312"/>
                <w:color w:val="000000"/>
                <w:szCs w:val="21"/>
                <w:lang w:val="en-US" w:eastAsia="zh-CN"/>
              </w:rPr>
            </w:pPr>
          </w:p>
        </w:tc>
        <w:tc>
          <w:tcPr>
            <w:tcW w:w="561" w:type="dxa"/>
            <w:vAlign w:val="center"/>
          </w:tcPr>
          <w:p>
            <w:pPr>
              <w:jc w:val="center"/>
              <w:rPr>
                <w:rFonts w:hint="default"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JD-135-07-01</w:t>
            </w:r>
          </w:p>
        </w:tc>
        <w:tc>
          <w:tcPr>
            <w:tcW w:w="624" w:type="dxa"/>
            <w:tcMar>
              <w:left w:w="0" w:type="dxa"/>
              <w:right w:w="0" w:type="dxa"/>
            </w:tcMar>
            <w:vAlign w:val="center"/>
          </w:tcPr>
          <w:p>
            <w:pPr>
              <w:jc w:val="center"/>
              <w:rPr>
                <w:rFonts w:hint="eastAsia"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一类工业用地</w:t>
            </w:r>
          </w:p>
        </w:tc>
        <w:tc>
          <w:tcPr>
            <w:tcW w:w="924" w:type="dxa"/>
            <w:vAlign w:val="center"/>
          </w:tcPr>
          <w:p>
            <w:pPr>
              <w:jc w:val="center"/>
              <w:rPr>
                <w:rFonts w:hint="default" w:ascii="仿宋_GB2312" w:hAnsi="仿宋_GB2312" w:eastAsia="仿宋_GB2312"/>
                <w:color w:val="000000"/>
                <w:szCs w:val="21"/>
                <w:lang w:val="en-US" w:eastAsia="zh-CN"/>
              </w:rPr>
            </w:pPr>
            <w:r>
              <w:rPr>
                <w:rFonts w:hint="eastAsia" w:ascii="仿宋_GB2312" w:hAnsi="仿宋_GB2312" w:eastAsia="仿宋_GB2312"/>
                <w:color w:val="000000"/>
                <w:szCs w:val="21"/>
                <w:lang w:val="en-US" w:eastAsia="zh-CN"/>
              </w:rPr>
              <w:t>88223.4</w:t>
            </w:r>
          </w:p>
        </w:tc>
        <w:tc>
          <w:tcPr>
            <w:tcW w:w="948" w:type="dxa"/>
            <w:vAlign w:val="center"/>
          </w:tcPr>
          <w:p>
            <w:pPr>
              <w:jc w:val="center"/>
              <w:rPr>
                <w:rFonts w:hint="default" w:eastAsia="仿宋_GB2312"/>
                <w:szCs w:val="21"/>
                <w:lang w:val="en-US" w:eastAsia="zh-CN"/>
              </w:rPr>
            </w:pPr>
            <w:r>
              <w:rPr>
                <w:rFonts w:hint="eastAsia" w:ascii="仿宋_GB2312" w:hAnsi="仿宋_GB2312" w:eastAsia="仿宋_GB2312"/>
                <w:color w:val="000000"/>
                <w:szCs w:val="21"/>
                <w:lang w:val="en-US" w:eastAsia="zh-CN"/>
              </w:rPr>
              <w:t>100326</w:t>
            </w:r>
          </w:p>
        </w:tc>
        <w:tc>
          <w:tcPr>
            <w:tcW w:w="720" w:type="dxa"/>
            <w:vAlign w:val="center"/>
          </w:tcPr>
          <w:p>
            <w:pPr>
              <w:adjustRightInd w:val="0"/>
              <w:snapToGrid w:val="0"/>
              <w:spacing w:line="4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仿宋_GB2312" w:eastAsia="仿宋_GB2312"/>
                <w:color w:val="000000"/>
                <w:szCs w:val="21"/>
              </w:rPr>
              <w:t>≥</w:t>
            </w:r>
            <w:r>
              <w:rPr>
                <w:rFonts w:hint="eastAsia" w:ascii="仿宋_GB2312" w:hAnsi="仿宋_GB2312" w:eastAsia="仿宋_GB2312"/>
                <w:color w:val="000000"/>
                <w:szCs w:val="21"/>
                <w:lang w:val="en-US" w:eastAsia="zh-CN"/>
              </w:rPr>
              <w:t>30</w:t>
            </w:r>
          </w:p>
        </w:tc>
        <w:tc>
          <w:tcPr>
            <w:tcW w:w="666" w:type="dxa"/>
            <w:vAlign w:val="center"/>
          </w:tcPr>
          <w:p>
            <w:pPr>
              <w:adjustRightInd w:val="0"/>
              <w:snapToGrid w:val="0"/>
              <w:spacing w:line="4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仿宋_GB2312" w:eastAsia="仿宋_GB2312" w:cs="仿宋_GB2312"/>
                <w:szCs w:val="21"/>
                <w:lang w:val="en-US" w:eastAsia="zh-CN"/>
              </w:rPr>
              <w:t>2.0-3</w:t>
            </w:r>
            <w:r>
              <w:rPr>
                <w:rFonts w:ascii="仿宋_GB2312" w:hAnsi="仿宋_GB2312" w:eastAsia="仿宋_GB2312" w:cs="仿宋_GB2312"/>
                <w:szCs w:val="21"/>
              </w:rPr>
              <w:t>.</w:t>
            </w:r>
            <w:r>
              <w:rPr>
                <w:rFonts w:hint="eastAsia" w:ascii="仿宋_GB2312" w:hAnsi="仿宋_GB2312" w:eastAsia="仿宋_GB2312" w:cs="仿宋_GB2312"/>
                <w:szCs w:val="21"/>
                <w:lang w:val="en-US" w:eastAsia="zh-CN"/>
              </w:rPr>
              <w:t>5</w:t>
            </w:r>
          </w:p>
        </w:tc>
        <w:tc>
          <w:tcPr>
            <w:tcW w:w="1656" w:type="dxa"/>
            <w:vAlign w:val="center"/>
          </w:tcPr>
          <w:p>
            <w:pPr>
              <w:adjustRightInd w:val="0"/>
              <w:snapToGrid w:val="0"/>
              <w:spacing w:line="4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仿宋_GB2312" w:eastAsia="仿宋_GB2312" w:cs="仿宋_GB2312"/>
                <w:szCs w:val="21"/>
                <w:lang w:val="en-US" w:eastAsia="zh-CN"/>
              </w:rPr>
              <w:t>200652-351141</w:t>
            </w:r>
          </w:p>
        </w:tc>
        <w:tc>
          <w:tcPr>
            <w:tcW w:w="876" w:type="dxa"/>
            <w:vAlign w:val="center"/>
          </w:tcPr>
          <w:p>
            <w:pPr>
              <w:adjustRightInd w:val="0"/>
              <w:snapToGrid w:val="0"/>
              <w:spacing w:line="4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仿宋_GB2312" w:eastAsia="仿宋_GB2312" w:cs="仿宋_GB2312"/>
                <w:szCs w:val="21"/>
              </w:rPr>
              <w:t>每100平方米计容积率面积</w:t>
            </w:r>
            <w:r>
              <w:rPr>
                <w:rFonts w:hint="eastAsia" w:ascii="仿宋_GB2312" w:hAnsi="仿宋_GB2312" w:eastAsia="仿宋_GB2312"/>
                <w:color w:val="000000"/>
                <w:szCs w:val="21"/>
              </w:rPr>
              <w:t>≥</w:t>
            </w:r>
            <w:r>
              <w:rPr>
                <w:rFonts w:hint="eastAsia" w:ascii="仿宋_GB2312" w:hAnsi="仿宋_GB2312" w:eastAsia="仿宋_GB2312" w:cs="仿宋_GB2312"/>
                <w:szCs w:val="21"/>
                <w:lang w:val="en-US" w:eastAsia="zh-CN"/>
              </w:rPr>
              <w:t>0.2</w:t>
            </w:r>
            <w:r>
              <w:rPr>
                <w:rFonts w:hint="eastAsia" w:ascii="仿宋_GB2312" w:hAnsi="仿宋_GB2312" w:eastAsia="仿宋_GB2312" w:cs="仿宋_GB2312"/>
                <w:szCs w:val="21"/>
              </w:rPr>
              <w:t>个</w:t>
            </w:r>
          </w:p>
        </w:tc>
        <w:tc>
          <w:tcPr>
            <w:tcW w:w="930"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w:t>
            </w:r>
          </w:p>
          <w:p>
            <w:pPr>
              <w:adjustRightInd w:val="0"/>
              <w:snapToGrid w:val="0"/>
              <w:spacing w:line="4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20</w:t>
            </w:r>
          </w:p>
        </w:tc>
        <w:tc>
          <w:tcPr>
            <w:tcW w:w="1035" w:type="dxa"/>
            <w:vAlign w:val="center"/>
          </w:tcPr>
          <w:p>
            <w:pPr>
              <w:ind w:left="0" w:leftChars="-51" w:right="-118" w:rightChars="-56" w:hanging="107" w:hangingChars="51"/>
              <w:jc w:val="center"/>
              <w:rPr>
                <w:rFonts w:hint="eastAsia" w:ascii="仿宋_GB2312" w:hAnsi="Times New Roman" w:eastAsia="仿宋_GB2312" w:cs="Times New Roman"/>
                <w:kern w:val="2"/>
                <w:sz w:val="21"/>
                <w:szCs w:val="21"/>
                <w:lang w:val="en-US" w:eastAsia="zh-CN" w:bidi="ar-SA"/>
              </w:rPr>
            </w:pPr>
            <w:r>
              <w:rPr>
                <w:rFonts w:hint="eastAsia" w:ascii="仿宋_GB2312" w:hAnsi="仿宋_GB2312" w:eastAsia="仿宋_GB2312" w:cs="Times New Roman"/>
                <w:color w:val="000000"/>
                <w:szCs w:val="21"/>
                <w:lang w:val="en-US" w:eastAsia="zh-CN"/>
              </w:rPr>
              <w:t>5G智能制造产业</w:t>
            </w:r>
          </w:p>
        </w:tc>
        <w:tc>
          <w:tcPr>
            <w:tcW w:w="795" w:type="dxa"/>
            <w:vAlign w:val="center"/>
          </w:tcPr>
          <w:p>
            <w:pPr>
              <w:ind w:right="-118" w:rightChars="-56"/>
              <w:jc w:val="left"/>
              <w:rPr>
                <w:rFonts w:hint="eastAsia" w:ascii="仿宋_GB2312" w:hAnsi="仿宋_GB2312" w:eastAsia="仿宋_GB2312"/>
                <w:color w:val="000000"/>
                <w:szCs w:val="21"/>
              </w:rPr>
            </w:pPr>
            <w:r>
              <w:rPr>
                <w:rFonts w:hint="eastAsia" w:ascii="仿宋_GB2312" w:hAnsi="仿宋_GB2312" w:eastAsia="仿宋_GB2312"/>
                <w:color w:val="000000"/>
                <w:szCs w:val="21"/>
                <w:lang w:val="en-US" w:eastAsia="zh-CN"/>
              </w:rPr>
              <w:t>5</w:t>
            </w:r>
            <w:r>
              <w:rPr>
                <w:rFonts w:hint="eastAsia" w:ascii="仿宋_GB2312" w:hAnsi="仿宋_GB2312" w:eastAsia="仿宋_GB2312"/>
                <w:color w:val="000000"/>
                <w:szCs w:val="21"/>
              </w:rPr>
              <w:t>0年</w:t>
            </w:r>
          </w:p>
          <w:p>
            <w:pPr>
              <w:ind w:left="0" w:leftChars="-51" w:right="-118" w:rightChars="-56" w:hanging="107" w:hangingChars="51"/>
              <w:jc w:val="left"/>
              <w:rPr>
                <w:rFonts w:hint="eastAsia" w:ascii="仿宋_GB2312" w:hAnsi="仿宋_GB2312" w:eastAsia="仿宋_GB2312" w:cs="Times New Roman"/>
                <w:color w:val="000000"/>
                <w:kern w:val="2"/>
                <w:sz w:val="21"/>
                <w:szCs w:val="21"/>
                <w:lang w:val="en-US" w:eastAsia="zh-CN" w:bidi="ar-SA"/>
              </w:rPr>
            </w:pPr>
          </w:p>
        </w:tc>
      </w:tr>
    </w:tbl>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12F5"/>
    <w:rsid w:val="06412B8D"/>
    <w:rsid w:val="0998192B"/>
    <w:rsid w:val="16F95125"/>
    <w:rsid w:val="1C8C5389"/>
    <w:rsid w:val="1CAB768F"/>
    <w:rsid w:val="1E862B6D"/>
    <w:rsid w:val="20416FC9"/>
    <w:rsid w:val="2E4864A5"/>
    <w:rsid w:val="2E7B6A8A"/>
    <w:rsid w:val="30EB318E"/>
    <w:rsid w:val="31212518"/>
    <w:rsid w:val="35335FA2"/>
    <w:rsid w:val="36061489"/>
    <w:rsid w:val="381E47FD"/>
    <w:rsid w:val="39954A3D"/>
    <w:rsid w:val="3A8B02B2"/>
    <w:rsid w:val="3B693FA7"/>
    <w:rsid w:val="3D936EE1"/>
    <w:rsid w:val="40074768"/>
    <w:rsid w:val="43706132"/>
    <w:rsid w:val="4DDD3417"/>
    <w:rsid w:val="5206014D"/>
    <w:rsid w:val="56555350"/>
    <w:rsid w:val="578C2C24"/>
    <w:rsid w:val="5C5F2C43"/>
    <w:rsid w:val="642E619C"/>
    <w:rsid w:val="662D5FC3"/>
    <w:rsid w:val="6721270D"/>
    <w:rsid w:val="6C60475C"/>
    <w:rsid w:val="6E1E4160"/>
    <w:rsid w:val="6EB83079"/>
    <w:rsid w:val="75130142"/>
    <w:rsid w:val="75AF0E58"/>
    <w:rsid w:val="76633B66"/>
    <w:rsid w:val="7B7C245C"/>
    <w:rsid w:val="7C3B68C0"/>
    <w:rsid w:val="7D3E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2020-11-09T01:56:00Z</cp:lastPrinted>
  <dcterms:modified xsi:type="dcterms:W3CDTF">2020-11-09T07:57:41Z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