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055</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sz w:val="32"/>
          <w:szCs w:val="32"/>
          <w:lang w:val="en-US" w:eastAsia="zh-CN"/>
        </w:rPr>
        <w:t>1210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_GB2312" w:cs="仿宋_GB2312"/>
          <w:szCs w:val="32"/>
          <w:lang w:val="en-US" w:eastAsia="zh-CN"/>
        </w:rPr>
        <w:t>3</w:t>
      </w:r>
      <w:r>
        <w:rPr>
          <w:rFonts w:hint="eastAsia" w:hAnsi="仿宋"/>
          <w:kern w:val="2"/>
          <w:szCs w:val="32"/>
          <w:lang w:val="en-US" w:eastAsia="zh-CN"/>
        </w:rPr>
        <w:t>63</w:t>
      </w:r>
      <w:r>
        <w:rPr>
          <w:rFonts w:hint="eastAsia" w:hAnsi="仿宋_GB2312" w:cs="仿宋_GB2312"/>
          <w:szCs w:val="32"/>
        </w:rPr>
        <w:t>万元人民币。</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（二）竞得人在用地红线内开发建设必须符合城市规划要求，必须按上述建设方案的要求进行规划设计。</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拖欠政府地价款的单位不得参与竞买上述地块。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、竞得人签订《成交确认书》后，缴交的保证金中按成交价的</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%转作定金，竞得人签订《出让合同》后，定金转作土地出让价款。</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保证金少于成交价20%的，不足部分由竞得人在签订《成交确认书》之日起5个工作日内付清。</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14000</w:t>
      </w:r>
      <w:r>
        <w:rPr>
          <w:rFonts w:hint="eastAsia" w:ascii="仿宋_GB2312" w:hAnsi="仿宋_GB2312" w:eastAsia="仿宋_GB2312" w:cs="仿宋_GB2312"/>
          <w:sz w:val="32"/>
          <w:szCs w:val="32"/>
        </w:rPr>
        <w:t>万元（含地价）。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报总平面图的主要技术经济指标：规划布局2栋厂房、1栋综合楼，计算指标用地面积12001平方米，建筑层数地上最高5层（建筑高度最高23.9米，使用功能为厂房），计容积率总建筑面积24638平方米（其中行政办公配套建筑面积4878平方米，占比19.8%），容积率2.05，建筑密度39.3%（其中行政办公设施用地面积840平方米，占比6.99%），绿地率15%，停车位50个（地上50个），各项指标满足《建设用地规划设计条件》（HC</w:t>
      </w:r>
      <w:bookmarkStart w:id="0" w:name="_GoBack"/>
      <w:bookmarkEnd w:id="0"/>
      <w:r>
        <w:rPr>
          <w:rFonts w:hint="eastAsia" w:ascii="仿宋_GB2312" w:hAnsi="仿宋_GB2312" w:eastAsia="仿宋_GB2312" w:cs="仿宋_GB2312"/>
          <w:sz w:val="32"/>
          <w:szCs w:val="32"/>
          <w:lang w:val="en-US" w:eastAsia="zh-CN"/>
        </w:rPr>
        <w:t>PB20200013)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2、建设项目平面布置图详见附件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招商条件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投资强度不低于</w:t>
      </w:r>
      <w:r>
        <w:rPr>
          <w:rFonts w:hint="eastAsia" w:ascii="仿宋_GB2312" w:hAnsi="仿宋_GB2312" w:eastAsia="仿宋_GB2312" w:cs="仿宋_GB2312"/>
          <w:sz w:val="32"/>
          <w:szCs w:val="32"/>
          <w:lang w:val="en-US" w:eastAsia="zh-CN"/>
        </w:rPr>
        <w:t>11666元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，土地产出率（营业收入）不低于</w:t>
      </w:r>
      <w:r>
        <w:rPr>
          <w:rFonts w:hint="eastAsia" w:ascii="仿宋_GB2312" w:hAnsi="仿宋_GB2312" w:eastAsia="仿宋_GB2312" w:cs="仿宋_GB2312"/>
          <w:sz w:val="32"/>
          <w:szCs w:val="32"/>
          <w:lang w:val="en-US" w:eastAsia="zh-CN"/>
        </w:rPr>
        <w:t>19166</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/年，税收产出不低于</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/年。其中，土地产出率及税收产出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在项目投产后3年内逐年考核，3年内的平均值不得低于上述标准。</w:t>
      </w:r>
      <w:r>
        <w:rPr>
          <w:rFonts w:hint="eastAsia" w:ascii="仿宋_GB2312" w:hAnsi="仿宋_GB2312" w:eastAsia="仿宋_GB2312" w:cs="仿宋_GB2312"/>
          <w:sz w:val="32"/>
          <w:szCs w:val="32"/>
          <w:lang w:eastAsia="zh-CN"/>
        </w:rPr>
        <w:t>项目须在正式签订建设用地交地确认书后</w:t>
      </w:r>
      <w:r>
        <w:rPr>
          <w:rFonts w:hint="eastAsia" w:ascii="仿宋_GB2312" w:hAnsi="仿宋_GB2312" w:eastAsia="仿宋_GB2312" w:cs="仿宋_GB2312"/>
          <w:sz w:val="32"/>
          <w:szCs w:val="32"/>
          <w:lang w:val="en-US" w:eastAsia="zh-CN"/>
        </w:rPr>
        <w:t>1个月内动工建设，2年内竣工。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）竞得人在签订《成交确认书》前，须与惠城区高新科技产业园管委会签订《惠城区工业项目土地建设和使用监管协议书》，并由惠城区高新科技产业园管委会对项目用地实施批后监管。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地址：惠州市</w:t>
      </w:r>
      <w:r>
        <w:rPr>
          <w:rFonts w:hint="eastAsia" w:ascii="仿宋_GB2312" w:hAnsi="仿宋_GB2312" w:eastAsia="仿宋_GB2312" w:cs="仿宋_GB2312"/>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陈镇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联系地址：广东省惠州市江北文华一路2号大隆大厦6楼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2020年12月29日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50"/>
        <w:gridCol w:w="750"/>
        <w:gridCol w:w="675"/>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45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5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67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450" w:type="dxa"/>
            <w:vMerge w:val="continue"/>
            <w:vAlign w:val="center"/>
          </w:tcPr>
          <w:p>
            <w:pPr>
              <w:adjustRightInd w:val="0"/>
              <w:snapToGrid w:val="0"/>
              <w:spacing w:line="320" w:lineRule="exact"/>
              <w:jc w:val="center"/>
              <w:rPr>
                <w:rFonts w:hint="eastAsia" w:ascii="仿宋_GB2312" w:eastAsia="仿宋_GB2312"/>
                <w:b/>
                <w:bCs/>
              </w:rPr>
            </w:pPr>
          </w:p>
        </w:tc>
        <w:tc>
          <w:tcPr>
            <w:tcW w:w="750" w:type="dxa"/>
            <w:vMerge w:val="continue"/>
            <w:vAlign w:val="center"/>
          </w:tcPr>
          <w:p>
            <w:pPr>
              <w:adjustRightInd w:val="0"/>
              <w:snapToGrid w:val="0"/>
              <w:spacing w:line="320" w:lineRule="exact"/>
              <w:jc w:val="center"/>
              <w:rPr>
                <w:rFonts w:hint="eastAsia" w:ascii="仿宋_GB2312" w:eastAsia="仿宋_GB2312"/>
                <w:b/>
                <w:bCs/>
              </w:rPr>
            </w:pPr>
          </w:p>
        </w:tc>
        <w:tc>
          <w:tcPr>
            <w:tcW w:w="675"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产业类型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 xml:space="preserve">GP2020-55 </w:t>
            </w:r>
          </w:p>
        </w:tc>
        <w:tc>
          <w:tcPr>
            <w:tcW w:w="45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惠州市惠城区高新科技产业园南部片区</w:t>
            </w:r>
          </w:p>
        </w:tc>
        <w:tc>
          <w:tcPr>
            <w:tcW w:w="75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B-11-01</w:t>
            </w:r>
          </w:p>
        </w:tc>
        <w:tc>
          <w:tcPr>
            <w:tcW w:w="675"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10131.01</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12001</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1.6-3.5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19201-42003</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行政办公及生活服务设施每100平方米计容积率建筑面积≥1个，厂房每100平方米计容积率建筑面积≥0.2个</w:t>
            </w:r>
          </w:p>
        </w:tc>
        <w:tc>
          <w:tcPr>
            <w:tcW w:w="90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通信设备、计算机及其他电子设备制造业</w:t>
            </w:r>
            <w:r>
              <w:rPr>
                <w:rFonts w:hint="eastAsia" w:ascii="仿宋_GB2312" w:hAnsi="Times New Roman" w:eastAsia="仿宋_GB2312" w:cs="Times New Roman"/>
                <w:szCs w:val="21"/>
                <w:lang w:val="en-US" w:eastAsia="zh-CN"/>
              </w:rPr>
              <w:t>用地</w:t>
            </w:r>
          </w:p>
        </w:tc>
        <w:tc>
          <w:tcPr>
            <w:tcW w:w="67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5</w:t>
            </w:r>
            <w:r>
              <w:rPr>
                <w:rFonts w:hint="eastAsia" w:ascii="仿宋_GB2312" w:hAnsi="Times New Roman" w:eastAsia="仿宋_GB2312" w:cs="Times New Roman"/>
                <w:szCs w:val="21"/>
                <w:lang w:eastAsia="zh-CN"/>
              </w:rPr>
              <w:t>0年</w:t>
            </w:r>
          </w:p>
          <w:p>
            <w:pPr>
              <w:jc w:val="center"/>
              <w:rPr>
                <w:rFonts w:hint="eastAsia" w:ascii="仿宋_GB2312" w:hAnsi="Times New Roman" w:eastAsia="仿宋_GB2312" w:cs="Times New Roman"/>
                <w:szCs w:val="21"/>
                <w:lang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D5749"/>
    <w:rsid w:val="07386886"/>
    <w:rsid w:val="082B1937"/>
    <w:rsid w:val="0D167AC3"/>
    <w:rsid w:val="0DF23899"/>
    <w:rsid w:val="0E7A65F6"/>
    <w:rsid w:val="101D3BC2"/>
    <w:rsid w:val="10BD4DFA"/>
    <w:rsid w:val="167673A1"/>
    <w:rsid w:val="17AA0480"/>
    <w:rsid w:val="188D227F"/>
    <w:rsid w:val="1A0B2C56"/>
    <w:rsid w:val="1AA5305E"/>
    <w:rsid w:val="1C5904D7"/>
    <w:rsid w:val="1DE30B94"/>
    <w:rsid w:val="1E862B6D"/>
    <w:rsid w:val="20ED2229"/>
    <w:rsid w:val="22890C8D"/>
    <w:rsid w:val="28774868"/>
    <w:rsid w:val="2A870225"/>
    <w:rsid w:val="2B5D4967"/>
    <w:rsid w:val="304C7078"/>
    <w:rsid w:val="35335FA2"/>
    <w:rsid w:val="36061489"/>
    <w:rsid w:val="37607760"/>
    <w:rsid w:val="38BD14D1"/>
    <w:rsid w:val="3C13026D"/>
    <w:rsid w:val="40231E47"/>
    <w:rsid w:val="40363F40"/>
    <w:rsid w:val="43706132"/>
    <w:rsid w:val="4AE74DD0"/>
    <w:rsid w:val="4C1E7284"/>
    <w:rsid w:val="4F861E18"/>
    <w:rsid w:val="538C505C"/>
    <w:rsid w:val="548D7F6E"/>
    <w:rsid w:val="57C844D5"/>
    <w:rsid w:val="596A13D8"/>
    <w:rsid w:val="59CB6841"/>
    <w:rsid w:val="5AF873B7"/>
    <w:rsid w:val="5D241B5A"/>
    <w:rsid w:val="65680E9C"/>
    <w:rsid w:val="67201D7D"/>
    <w:rsid w:val="692A6240"/>
    <w:rsid w:val="6EB83079"/>
    <w:rsid w:val="6F4B3B48"/>
    <w:rsid w:val="6FC50425"/>
    <w:rsid w:val="761352C3"/>
    <w:rsid w:val="77DD303C"/>
    <w:rsid w:val="7D060077"/>
    <w:rsid w:val="7F840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黄春枚</cp:lastModifiedBy>
  <cp:lastPrinted>2020-12-29T02:05:00Z</cp:lastPrinted>
  <dcterms:modified xsi:type="dcterms:W3CDTF">2021-01-07T01:13:00Z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