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002</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根据国土资源部令第39号《招标拍卖挂牌出让国有建设用地使用权规定》和广东省人民政府令第79号《广东省土地使用权交易市场管理规定》的规定，经惠州市人民政府批准，惠州市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 w:eastAsia="仿宋_GB2312"/>
          <w:sz w:val="32"/>
          <w:szCs w:val="32"/>
          <w:lang w:val="en-US" w:eastAsia="zh-CN"/>
        </w:rPr>
        <w:t>425</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127.5</w:t>
      </w:r>
      <w:r>
        <w:rPr>
          <w:rFonts w:hint="eastAsia" w:hAnsi="仿宋_GB2312" w:cs="仿宋_GB2312"/>
          <w:szCs w:val="32"/>
        </w:rPr>
        <w:t>万元人民币。</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 w:eastAsia="仿宋_GB2312"/>
          <w:sz w:val="32"/>
          <w:szCs w:val="32"/>
        </w:rPr>
        <w:t>竞得人在用地红线内开发建设必须符合城市规划要求，必须按</w:t>
      </w:r>
      <w:r>
        <w:rPr>
          <w:rFonts w:hint="eastAsia" w:ascii="Times New Roman" w:hAnsi="Times New Roman" w:eastAsia="仿宋_GB2312" w:cs="Times New Roman"/>
          <w:sz w:val="32"/>
          <w:szCs w:val="32"/>
          <w:lang w:val="en-US" w:eastAsia="zh-CN"/>
        </w:rPr>
        <w:t>《建设用地规划条件》（案卷编号：PB20200072号)</w:t>
      </w:r>
      <w:r>
        <w:rPr>
          <w:rFonts w:hint="eastAsia" w:ascii="仿宋_GB2312" w:hAnsi="仿宋" w:eastAsia="仿宋_GB2312"/>
          <w:sz w:val="32"/>
          <w:szCs w:val="32"/>
        </w:rPr>
        <w:t>规划控制指标要求及</w:t>
      </w:r>
      <w:r>
        <w:rPr>
          <w:rFonts w:hint="eastAsia" w:ascii="仿宋_GB2312" w:hAnsi="仿宋" w:eastAsia="仿宋_GB2312"/>
          <w:sz w:val="32"/>
          <w:szCs w:val="32"/>
          <w:lang w:val="en-US" w:eastAsia="zh-CN"/>
        </w:rPr>
        <w:t>上述建设方案</w:t>
      </w:r>
      <w:r>
        <w:rPr>
          <w:rFonts w:hint="eastAsia" w:ascii="仿宋_GB2312" w:hAnsi="仿宋" w:eastAsia="仿宋_GB2312"/>
          <w:sz w:val="32"/>
          <w:szCs w:val="32"/>
        </w:rPr>
        <w:t>进行规划设计。</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1.存在伪造公文骗取用地和非法倒卖土地等犯罪行为的；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2.存在非法转让土地使用权等违法行为的；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3.因企业原因造成土地闲置一年以上且至报名日止未处罚完结的；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4.开发建设企业有违背出让合同约定条件开发利用土地情形且至报名日止未处罚完结的；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5.至报名日止仍拖欠政府地价款的;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6.被列入问题楼盘开发企业黑名单的;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7.存在其它被禁止竞买土地行为的。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、竞得人签订《成交确认书》后，缴交的保证金中按成交价的</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转作定金，竞得人签订《出让合同》后，定金转作土地出让价款。保证金少于成交价20%的，不足部分由竞得人在签订《成交确认书》之日起5个工作日内付清。《成交确认书》签订之日起5个工作日内竞得人须与出让人签订《出让合同》，逾期自动解除《成交确认书》，定金不予返还。</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仿宋" w:eastAsia="仿宋_GB2312"/>
          <w:sz w:val="32"/>
          <w:szCs w:val="32"/>
          <w:lang w:val="en-US" w:eastAsia="zh-CN"/>
        </w:rPr>
        <w:t>1.03亿</w:t>
      </w:r>
      <w:r>
        <w:rPr>
          <w:rFonts w:hint="eastAsia" w:ascii="仿宋_GB2312" w:hAnsi="仿宋_GB2312" w:eastAsia="仿宋_GB2312" w:cs="仿宋_GB2312"/>
          <w:sz w:val="32"/>
          <w:szCs w:val="32"/>
        </w:rPr>
        <w:t>元（含地价）。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w:t>
      </w:r>
      <w:r>
        <w:rPr>
          <w:rFonts w:hint="eastAsia" w:ascii="仿宋_GB2312" w:hAnsi="宋体" w:eastAsia="仿宋_GB2312" w:cs="宋体"/>
          <w:kern w:val="0"/>
          <w:sz w:val="32"/>
          <w:szCs w:val="32"/>
          <w:lang w:eastAsia="zh-CN"/>
        </w:rPr>
        <w:t>竞</w:t>
      </w:r>
      <w:r>
        <w:rPr>
          <w:rFonts w:hint="eastAsia" w:ascii="仿宋_GB2312" w:hAnsi="宋体" w:eastAsia="仿宋_GB2312" w:cs="宋体"/>
          <w:kern w:val="0"/>
          <w:sz w:val="32"/>
          <w:szCs w:val="32"/>
          <w:lang w:val="en-US" w:eastAsia="zh-CN"/>
        </w:rPr>
        <w:t>买人须</w:t>
      </w:r>
      <w:r>
        <w:rPr>
          <w:rFonts w:hint="eastAsia" w:ascii="仿宋_GB2312" w:hAnsi="宋体" w:eastAsia="仿宋_GB2312" w:cs="宋体"/>
          <w:kern w:val="0"/>
          <w:sz w:val="32"/>
          <w:szCs w:val="32"/>
          <w:lang w:eastAsia="zh-CN"/>
        </w:rPr>
        <w:t>提</w:t>
      </w:r>
      <w:r>
        <w:rPr>
          <w:rFonts w:hint="eastAsia" w:ascii="仿宋_GB2312" w:hAnsi="宋体" w:eastAsia="仿宋_GB2312" w:cs="宋体"/>
          <w:kern w:val="0"/>
          <w:sz w:val="32"/>
          <w:szCs w:val="32"/>
          <w:lang w:val="en-US" w:eastAsia="zh-CN"/>
        </w:rPr>
        <w:t>交农业主管部门出具的</w:t>
      </w:r>
      <w:r>
        <w:rPr>
          <w:rFonts w:hint="eastAsia" w:ascii="仿宋_GB2312" w:hAnsi="宋体" w:eastAsia="仿宋_GB2312" w:cs="宋体"/>
          <w:kern w:val="0"/>
          <w:sz w:val="32"/>
          <w:szCs w:val="32"/>
          <w:lang w:eastAsia="zh-CN"/>
        </w:rPr>
        <w:t>属</w:t>
      </w:r>
      <w:r>
        <w:rPr>
          <w:rFonts w:hint="eastAsia" w:ascii="仿宋_GB2312" w:hAnsi="宋体" w:eastAsia="仿宋_GB2312" w:cs="宋体"/>
          <w:kern w:val="0"/>
          <w:sz w:val="32"/>
          <w:szCs w:val="32"/>
          <w:lang w:val="en-US" w:eastAsia="zh-CN"/>
        </w:rPr>
        <w:t>乡村产业项目</w:t>
      </w:r>
      <w:r>
        <w:rPr>
          <w:rFonts w:hint="eastAsia" w:ascii="仿宋_GB2312" w:hAnsi="宋体" w:eastAsia="仿宋_GB2312" w:cs="宋体"/>
          <w:kern w:val="0"/>
          <w:sz w:val="32"/>
          <w:szCs w:val="32"/>
          <w:lang w:eastAsia="zh-CN"/>
        </w:rPr>
        <w:t>的相关文件。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该地权利清晰，安置补偿落实到位，没有法律经济纠纷，具备动工开发所必须的基本条件。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（五）项目规划建设方案</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color w:val="auto"/>
          <w:kern w:val="0"/>
          <w:sz w:val="32"/>
          <w:szCs w:val="32"/>
          <w:lang w:val="en-US" w:eastAsia="zh-CN"/>
        </w:rPr>
        <w:t>1.</w:t>
      </w:r>
      <w:r>
        <w:rPr>
          <w:rFonts w:hint="eastAsia" w:ascii="仿宋_GB2312" w:hAnsi="宋体" w:eastAsia="仿宋_GB2312" w:cs="宋体"/>
          <w:color w:val="auto"/>
          <w:kern w:val="0"/>
          <w:sz w:val="32"/>
          <w:szCs w:val="32"/>
        </w:rPr>
        <w:t>所报总平面图的主要技术经济指标：规划布局2栋厂房、1栋综合楼，计算指标用地面积5000平方米，建筑层数地上最高13层（建筑高度最高51.1米，使用功能为厂房），计容积率总建筑面积11562.72平方米（其中行政办公配套建筑面积2166.93平方米，占比18.7%），容积率2.31，建筑密度30%（其中行政办公设施用地面积310.25平方米，占比6.2%），绿地率18%，停车位24个（地上24个），各项指标满足《建设用地规划设计条件》（PB20200072)要求，原则上建设单位须按照纳入出让条件的建设工程设计方案进行建设，职能部门不再进行二次审查。如建设单位因特殊工艺要求或其他不可控因素确需对建设工程设计方案进行修改的，不得违反条件告知书强制性内容，按照免审、快审或正常报建审查等程序办理。建设单位须同步做好管线综合设计报审，建筑设计须符合国家、省、市有关绿色建筑和建筑节能方面的技术规范和标准，须按海绵城市设计要求做好设计及施工。</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宋体" w:eastAsia="仿宋_GB2312" w:cs="宋体"/>
          <w:color w:val="auto"/>
          <w:kern w:val="0"/>
          <w:sz w:val="32"/>
          <w:szCs w:val="32"/>
          <w:lang w:val="en-US" w:eastAsia="zh-CN"/>
        </w:rPr>
        <w:t>2.建设项目平面布置图详见附件</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（六）招商条件</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hAnsi="宋体" w:eastAsia="仿宋_GB2312" w:cs="宋体"/>
          <w:color w:val="auto"/>
          <w:kern w:val="0"/>
          <w:sz w:val="32"/>
          <w:szCs w:val="32"/>
        </w:rPr>
      </w:pPr>
      <w:r>
        <w:rPr>
          <w:rFonts w:hint="eastAsia" w:ascii="仿宋_GB2312" w:hAnsi="宋体" w:eastAsia="仿宋_GB2312" w:cs="宋体"/>
          <w:kern w:val="0"/>
          <w:sz w:val="32"/>
          <w:szCs w:val="32"/>
        </w:rPr>
        <w:t>项目投资强度不低于20600元/平方米，土地产出率（营业收入）不低于5000元/平方米/年。其中，土地产出率及税收产出，在项目投产后3年内逐年考核，3年内的平均值不得低于上述标准。项目须在正式签订建设用地成交确认书后3个月内动工建设，2年内竣工。</w:t>
      </w:r>
      <w:r>
        <w:rPr>
          <w:rFonts w:hint="eastAsia" w:ascii="仿宋_GB2312" w:hAnsi="宋体" w:eastAsia="仿宋_GB2312" w:cs="宋体"/>
          <w:color w:val="auto"/>
          <w:kern w:val="0"/>
          <w:sz w:val="32"/>
          <w:szCs w:val="32"/>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经惠城区人民政府审批同意，并符合惠城区产业发展方向及项目入区审核标准。本宗地交付乙方后,乙方须向</w:t>
      </w:r>
      <w:r>
        <w:rPr>
          <w:rFonts w:hint="eastAsia" w:ascii="仿宋_GB2312" w:hAnsi="宋体" w:eastAsia="仿宋_GB2312" w:cs="宋体"/>
          <w:kern w:val="0"/>
          <w:sz w:val="32"/>
          <w:szCs w:val="32"/>
        </w:rPr>
        <w:t>汝湖镇政府</w:t>
      </w:r>
      <w:r>
        <w:rPr>
          <w:rFonts w:hint="eastAsia" w:ascii="仿宋_GB2312" w:hAnsi="宋体" w:eastAsia="仿宋_GB2312" w:cs="宋体"/>
          <w:color w:val="auto"/>
          <w:kern w:val="0"/>
          <w:sz w:val="32"/>
          <w:szCs w:val="32"/>
        </w:rPr>
        <w:t>提交项目投资计划书和时间安排表，并按月向</w:t>
      </w:r>
      <w:r>
        <w:rPr>
          <w:rFonts w:hint="eastAsia" w:ascii="仿宋_GB2312" w:hAnsi="宋体" w:eastAsia="仿宋_GB2312" w:cs="宋体"/>
          <w:kern w:val="0"/>
          <w:sz w:val="32"/>
          <w:szCs w:val="32"/>
        </w:rPr>
        <w:t>汝湖镇政府</w:t>
      </w:r>
      <w:r>
        <w:rPr>
          <w:rFonts w:hint="eastAsia" w:ascii="仿宋_GB2312" w:hAnsi="宋体" w:eastAsia="仿宋_GB2312" w:cs="宋体"/>
          <w:color w:val="auto"/>
          <w:kern w:val="0"/>
          <w:sz w:val="32"/>
          <w:szCs w:val="32"/>
        </w:rPr>
        <w:t>书面报告项目进展情况，直至项目投产。</w:t>
      </w:r>
    </w:p>
    <w:p>
      <w:pPr>
        <w:pageBreakBefore w:val="0"/>
        <w:kinsoku/>
        <w:wordWrap/>
        <w:overflowPunct/>
        <w:topLinePunct w:val="0"/>
        <w:autoSpaceDE/>
        <w:autoSpaceDN/>
        <w:bidi w:val="0"/>
        <w:adjustRightInd/>
        <w:snapToGrid/>
        <w:spacing w:line="520" w:lineRule="exact"/>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竞得人需与汝湖镇政府签订《惠城区工业项目土地建设和使用监管协议书》并完成监管协议公证手续。</w:t>
      </w:r>
    </w:p>
    <w:p>
      <w:pPr>
        <w:pageBreakBefore w:val="0"/>
        <w:kinsoku/>
        <w:wordWrap/>
        <w:overflowPunct/>
        <w:topLinePunct w:val="0"/>
        <w:autoSpaceDE/>
        <w:autoSpaceDN/>
        <w:bidi w:val="0"/>
        <w:adjustRightInd/>
        <w:snapToGrid/>
        <w:spacing w:line="520" w:lineRule="exact"/>
        <w:ind w:firstLine="320" w:firstLineChars="100"/>
        <w:rPr>
          <w:rFonts w:hint="default" w:eastAsia="宋体"/>
          <w:lang w:val="en-US" w:eastAsia="zh-CN"/>
        </w:rPr>
      </w:pPr>
      <w:r>
        <w:rPr>
          <w:rFonts w:hint="eastAsia" w:ascii="仿宋_GB2312" w:hAnsi="仿宋" w:eastAsia="仿宋_GB2312"/>
          <w:sz w:val="32"/>
          <w:szCs w:val="32"/>
          <w:lang w:val="en-US" w:eastAsia="zh-CN"/>
        </w:rPr>
        <w:t>（七）该宗地作为乡村产业项目及其配套的基础设施和公共服务设施用地，竞得单位需在签订《国有建设用地交地确认书》前，提供由农业主管部门出具的属乡村产业项目的相关文件。</w:t>
      </w:r>
    </w:p>
    <w:p>
      <w:pPr>
        <w:pStyle w:val="2"/>
        <w:numPr>
          <w:ilvl w:val="0"/>
          <w:numId w:val="0"/>
        </w:num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竞得人在签订《成交确认书》前，须与惠城区高新科技产业园管委会签订《惠城区工业项目土地建设和使用监管协议书》，并由惠城区高新科技产业园管委会对项目用地实施批后监管。</w:t>
      </w:r>
    </w:p>
    <w:p>
      <w:pPr>
        <w:pStyle w:val="2"/>
        <w:numPr>
          <w:numId w:val="0"/>
        </w:num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竞得人有下列行为之一的，视为违约，取消竞得人资格，没收保证金,并由有关部门依法处理;造成损失的，竞得人还应依法承担赔偿责任：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w:t>
      </w:r>
      <w:bookmarkStart w:id="0" w:name="_GoBack"/>
      <w:bookmarkEnd w:id="0"/>
      <w:r>
        <w:rPr>
          <w:rFonts w:hint="eastAsia" w:ascii="仿宋_GB2312" w:hAnsi="仿宋_GB2312" w:eastAsia="仿宋_GB2312" w:cs="仿宋_GB2312"/>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、该宗地使用网上挂牌方式出让，交易全程适用《惠州市国有建设用地使用权和矿业权电子挂牌交易规则》（惠府〔</w:t>
      </w:r>
      <w:r>
        <w:rPr>
          <w:rFonts w:hint="eastAsia" w:ascii="仿宋_GB2312" w:hAnsi="仿宋_GB2312" w:eastAsia="仿宋_GB2312" w:cs="仿宋_GB2312"/>
          <w:sz w:val="32"/>
          <w:szCs w:val="32"/>
          <w:lang w:val="en-US" w:eastAsia="zh-CN"/>
        </w:rPr>
        <w:t>2014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167号）。</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地址：惠州市</w:t>
      </w:r>
      <w:r>
        <w:rPr>
          <w:rFonts w:hint="eastAsia" w:ascii="仿宋_GB2312" w:hAnsi="仿宋_GB2312" w:eastAsia="仿宋_GB2312" w:cs="仿宋_GB2312"/>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张旷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惠州市公共资源交易中心土地矿业交易部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联系地址：广东省惠州市江北文华</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路</w:t>
      </w:r>
      <w:r>
        <w:rPr>
          <w:rFonts w:hint="eastAsia" w:ascii="仿宋_GB2312" w:hAnsi="仿宋_GB2312" w:eastAsia="仿宋_GB2312" w:cs="仿宋_GB2312"/>
          <w:sz w:val="32"/>
          <w:szCs w:val="32"/>
          <w:lang w:val="en-US" w:eastAsia="zh-CN"/>
        </w:rPr>
        <w:t>86</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市民服务中心3号楼一楼108室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联系人：袁小姐、黄小姐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惠州日报。</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2021年1月5日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450"/>
        <w:gridCol w:w="750"/>
        <w:gridCol w:w="675"/>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45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75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规划编号</w:t>
            </w:r>
          </w:p>
        </w:tc>
        <w:tc>
          <w:tcPr>
            <w:tcW w:w="67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450" w:type="dxa"/>
            <w:vMerge w:val="continue"/>
            <w:vAlign w:val="center"/>
          </w:tcPr>
          <w:p>
            <w:pPr>
              <w:adjustRightInd w:val="0"/>
              <w:snapToGrid w:val="0"/>
              <w:spacing w:line="320" w:lineRule="exact"/>
              <w:jc w:val="center"/>
              <w:rPr>
                <w:rFonts w:hint="eastAsia" w:ascii="仿宋_GB2312" w:eastAsia="仿宋_GB2312"/>
                <w:b/>
                <w:bCs/>
              </w:rPr>
            </w:pPr>
          </w:p>
        </w:tc>
        <w:tc>
          <w:tcPr>
            <w:tcW w:w="750" w:type="dxa"/>
            <w:vMerge w:val="continue"/>
            <w:vAlign w:val="center"/>
          </w:tcPr>
          <w:p>
            <w:pPr>
              <w:adjustRightInd w:val="0"/>
              <w:snapToGrid w:val="0"/>
              <w:spacing w:line="320" w:lineRule="exact"/>
              <w:jc w:val="center"/>
              <w:rPr>
                <w:rFonts w:hint="eastAsia" w:ascii="仿宋_GB2312" w:eastAsia="仿宋_GB2312"/>
                <w:b/>
                <w:bCs/>
              </w:rPr>
            </w:pPr>
          </w:p>
        </w:tc>
        <w:tc>
          <w:tcPr>
            <w:tcW w:w="675"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建筑系数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lang w:eastAsia="zh-CN"/>
              </w:rPr>
              <w:t>适建性</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GP2021-2</w:t>
            </w:r>
          </w:p>
        </w:tc>
        <w:tc>
          <w:tcPr>
            <w:tcW w:w="450" w:type="dxa"/>
            <w:vAlign w:val="center"/>
          </w:tcPr>
          <w:p>
            <w:pPr>
              <w:jc w:val="center"/>
              <w:rPr>
                <w:rFonts w:hint="eastAsia" w:ascii="仿宋_GB2312" w:hAnsi="Times New Roman" w:eastAsia="仿宋_GB2312"/>
                <w:szCs w:val="21"/>
                <w:lang w:eastAsia="zh-CN"/>
              </w:rPr>
            </w:pPr>
            <w:r>
              <w:rPr>
                <w:rFonts w:hint="eastAsia" w:ascii="仿宋_GB2312" w:hAnsi="Times New Roman" w:eastAsia="仿宋_GB2312"/>
                <w:szCs w:val="21"/>
                <w:lang w:eastAsia="zh-CN"/>
              </w:rPr>
              <w:t>惠城区汝湖镇仍图南新村</w:t>
            </w:r>
          </w:p>
        </w:tc>
        <w:tc>
          <w:tcPr>
            <w:tcW w:w="75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RHNX01-01</w:t>
            </w:r>
          </w:p>
        </w:tc>
        <w:tc>
          <w:tcPr>
            <w:tcW w:w="675" w:type="dxa"/>
            <w:tcMar>
              <w:left w:w="0" w:type="dxa"/>
              <w:right w:w="0" w:type="dxa"/>
            </w:tcMar>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5000</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5000</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eastAsia="zh-CN"/>
              </w:rPr>
              <w:t>≥3</w:t>
            </w:r>
            <w:r>
              <w:rPr>
                <w:rFonts w:hint="eastAsia" w:ascii="仿宋_GB2312" w:hAnsi="Times New Roman" w:eastAsia="仿宋_GB2312" w:cs="Times New Roman"/>
                <w:szCs w:val="21"/>
                <w:lang w:val="en-US" w:eastAsia="zh-CN"/>
              </w:rPr>
              <w:t>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1.2-2.5</w:t>
            </w:r>
          </w:p>
        </w:tc>
        <w:tc>
          <w:tcPr>
            <w:tcW w:w="1650" w:type="dxa"/>
            <w:vAlign w:val="center"/>
          </w:tcPr>
          <w:p>
            <w:pPr>
              <w:jc w:val="cente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6000-12500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每100平方米计容积率建筑面积</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0.2个</w:t>
            </w:r>
          </w:p>
        </w:tc>
        <w:tc>
          <w:tcPr>
            <w:tcW w:w="900" w:type="dxa"/>
            <w:vAlign w:val="center"/>
          </w:tcPr>
          <w:p>
            <w:pPr>
              <w:jc w:val="center"/>
              <w:rPr>
                <w:rFonts w:hint="default" w:ascii="仿宋_GB2312" w:hAnsi="Times New Roman" w:eastAsia="仿宋_GB2312" w:cs="Times New Roman"/>
                <w:szCs w:val="21"/>
                <w:lang w:val="en-US" w:eastAsia="zh-CN"/>
              </w:rPr>
            </w:pPr>
            <w:r>
              <w:rPr>
                <w:rFonts w:hint="default" w:ascii="仿宋_GB2312" w:hAnsi="Times New Roman" w:eastAsia="仿宋_GB2312" w:cs="Times New Roman"/>
                <w:szCs w:val="21"/>
                <w:lang w:val="en-US" w:eastAsia="zh-CN"/>
              </w:rPr>
              <w:t>15-20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一类工业及配套设施</w:t>
            </w:r>
          </w:p>
        </w:tc>
        <w:tc>
          <w:tcPr>
            <w:tcW w:w="67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工业用地50年</w:t>
            </w: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A3CC2"/>
    <w:rsid w:val="07386886"/>
    <w:rsid w:val="082B1937"/>
    <w:rsid w:val="0B5B54DD"/>
    <w:rsid w:val="0C3611F7"/>
    <w:rsid w:val="0D167AC3"/>
    <w:rsid w:val="0DF23899"/>
    <w:rsid w:val="0E7A65F6"/>
    <w:rsid w:val="101D3BC2"/>
    <w:rsid w:val="10BD4DFA"/>
    <w:rsid w:val="167673A1"/>
    <w:rsid w:val="17AA0480"/>
    <w:rsid w:val="188D227F"/>
    <w:rsid w:val="1A0B2C56"/>
    <w:rsid w:val="1AA5305E"/>
    <w:rsid w:val="1C5904D7"/>
    <w:rsid w:val="1DE30B94"/>
    <w:rsid w:val="1E862B6D"/>
    <w:rsid w:val="20ED2229"/>
    <w:rsid w:val="22890C8D"/>
    <w:rsid w:val="24F80566"/>
    <w:rsid w:val="28774868"/>
    <w:rsid w:val="2A870225"/>
    <w:rsid w:val="2B5D4967"/>
    <w:rsid w:val="304C7078"/>
    <w:rsid w:val="31AC42FB"/>
    <w:rsid w:val="323168E1"/>
    <w:rsid w:val="35335FA2"/>
    <w:rsid w:val="36061489"/>
    <w:rsid w:val="37607760"/>
    <w:rsid w:val="38BD14D1"/>
    <w:rsid w:val="39924BBE"/>
    <w:rsid w:val="3C13026D"/>
    <w:rsid w:val="3E4F74D9"/>
    <w:rsid w:val="40231E47"/>
    <w:rsid w:val="40363F40"/>
    <w:rsid w:val="422946EF"/>
    <w:rsid w:val="43706132"/>
    <w:rsid w:val="4AE74DD0"/>
    <w:rsid w:val="4F861E18"/>
    <w:rsid w:val="538C505C"/>
    <w:rsid w:val="57C844D5"/>
    <w:rsid w:val="596A13D8"/>
    <w:rsid w:val="5AF873B7"/>
    <w:rsid w:val="5D241B5A"/>
    <w:rsid w:val="5F4E0E2E"/>
    <w:rsid w:val="62176D7B"/>
    <w:rsid w:val="64933E59"/>
    <w:rsid w:val="692A6240"/>
    <w:rsid w:val="6A0E2B8E"/>
    <w:rsid w:val="6EB83079"/>
    <w:rsid w:val="6F4B3B48"/>
    <w:rsid w:val="70684A5F"/>
    <w:rsid w:val="761352C3"/>
    <w:rsid w:val="77DD303C"/>
    <w:rsid w:val="7D060077"/>
    <w:rsid w:val="7F9E2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黄春枚</cp:lastModifiedBy>
  <cp:lastPrinted>2020-11-06T02:14:00Z</cp:lastPrinted>
  <dcterms:modified xsi:type="dcterms:W3CDTF">2021-01-05T08:10:38Z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